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w:t>
      </w:r>
    </w:p>
    <w:p>
      <w:pPr>
        <w:spacing w:before="312" w:beforeLines="100" w:after="312" w:afterLines="100"/>
        <w:jc w:val="center"/>
        <w:rPr>
          <w:rFonts w:ascii="方正小标宋简体" w:hAnsi="华文中宋" w:eastAsia="方正小标宋简体" w:cs="仿宋"/>
          <w:b/>
          <w:color w:val="000000" w:themeColor="text1"/>
          <w:sz w:val="28"/>
          <w:szCs w:val="28"/>
          <w14:textFill>
            <w14:solidFill>
              <w14:schemeClr w14:val="tx1"/>
            </w14:solidFill>
          </w14:textFill>
        </w:rPr>
      </w:pPr>
      <w:r>
        <w:rPr>
          <w:rFonts w:hint="eastAsia" w:ascii="方正小标宋简体" w:hAnsi="华文中宋" w:eastAsia="方正小标宋简体" w:cs="仿宋"/>
          <w:b/>
          <w:color w:val="000000" w:themeColor="text1"/>
          <w:sz w:val="28"/>
          <w:szCs w:val="28"/>
          <w14:textFill>
            <w14:solidFill>
              <w14:schemeClr w14:val="tx1"/>
            </w14:solidFill>
          </w14:textFill>
        </w:rPr>
        <w:t>西安工业大学</w:t>
      </w:r>
      <w:r>
        <w:rPr>
          <w:rFonts w:ascii="方正小标宋简体" w:hAnsi="华文中宋" w:eastAsia="方正小标宋简体" w:cs="仿宋"/>
          <w:b/>
          <w:color w:val="000000" w:themeColor="text1"/>
          <w:sz w:val="28"/>
          <w:szCs w:val="28"/>
          <w14:textFill>
            <w14:solidFill>
              <w14:schemeClr w14:val="tx1"/>
            </w14:solidFill>
          </w14:textFill>
        </w:rPr>
        <w:t>2021</w:t>
      </w:r>
      <w:r>
        <w:rPr>
          <w:rFonts w:hint="eastAsia" w:ascii="方正小标宋简体" w:hAnsi="华文中宋" w:eastAsia="方正小标宋简体" w:cs="仿宋"/>
          <w:b/>
          <w:color w:val="000000" w:themeColor="text1"/>
          <w:sz w:val="28"/>
          <w:szCs w:val="28"/>
          <w14:textFill>
            <w14:solidFill>
              <w14:schemeClr w14:val="tx1"/>
            </w14:solidFill>
          </w14:textFill>
        </w:rPr>
        <w:t>版本科</w:t>
      </w:r>
      <w:r>
        <w:rPr>
          <w:rFonts w:ascii="方正小标宋简体" w:hAnsi="华文中宋" w:eastAsia="方正小标宋简体" w:cs="仿宋"/>
          <w:b/>
          <w:color w:val="000000" w:themeColor="text1"/>
          <w:sz w:val="28"/>
          <w:szCs w:val="28"/>
          <w14:textFill>
            <w14:solidFill>
              <w14:schemeClr w14:val="tx1"/>
            </w14:solidFill>
          </w14:textFill>
        </w:rPr>
        <w:t>人才培养方案</w:t>
      </w:r>
      <w:r>
        <w:rPr>
          <w:rFonts w:hint="eastAsia" w:ascii="方正小标宋简体" w:hAnsi="华文中宋" w:eastAsia="方正小标宋简体" w:cs="仿宋"/>
          <w:b/>
          <w:color w:val="000000" w:themeColor="text1"/>
          <w:sz w:val="28"/>
          <w:szCs w:val="28"/>
          <w14:textFill>
            <w14:solidFill>
              <w14:schemeClr w14:val="tx1"/>
            </w14:solidFill>
          </w14:textFill>
        </w:rPr>
        <w:t>修订</w:t>
      </w:r>
      <w:r>
        <w:rPr>
          <w:rFonts w:ascii="方正小标宋简体" w:hAnsi="华文中宋" w:eastAsia="方正小标宋简体" w:cs="仿宋"/>
          <w:b/>
          <w:color w:val="000000" w:themeColor="text1"/>
          <w:sz w:val="28"/>
          <w:szCs w:val="28"/>
          <w14:textFill>
            <w14:solidFill>
              <w14:schemeClr w14:val="tx1"/>
            </w14:solidFill>
          </w14:textFill>
        </w:rPr>
        <w:t>指导意见</w:t>
      </w:r>
    </w:p>
    <w:p>
      <w:pPr>
        <w:ind w:firstLine="573"/>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才培养方案是学校组织、管理、实施教育教学活动的基本纲领。是学校办学指导思想、人才培养目标和培养模式的具体体现。为深入贯彻全国教育大会、新时代全国高等学校本科教育工作会议和全国高校思想政治工作会议精神，全面落实《教育部关于深化本科教育教学改革全面提高人才培养质量的意见》（教高</w:t>
      </w:r>
      <w:r>
        <w:rPr>
          <w:rFonts w:hint="eastAsia" w:ascii="仿宋" w:hAnsi="仿宋" w:eastAsia="仿宋" w:cs="仿宋"/>
          <w:sz w:val="28"/>
          <w:szCs w:val="28"/>
        </w:rPr>
        <w:t>〔2019〕</w:t>
      </w:r>
      <w:r>
        <w:rPr>
          <w:rFonts w:hint="eastAsia" w:ascii="仿宋" w:hAnsi="仿宋" w:eastAsia="仿宋" w:cs="仿宋"/>
          <w:color w:val="000000" w:themeColor="text1"/>
          <w:sz w:val="28"/>
          <w:szCs w:val="28"/>
          <w14:textFill>
            <w14:solidFill>
              <w14:schemeClr w14:val="tx1"/>
            </w14:solidFill>
          </w14:textFill>
        </w:rPr>
        <w:t>6号）等文件精神，进一步深化学校本科教育教学改革，构建一流本科人才培养体系，全面提高本科人才培养质量，学校决定</w:t>
      </w:r>
      <w:r>
        <w:rPr>
          <w:rFonts w:ascii="仿宋" w:hAnsi="仿宋" w:eastAsia="仿宋" w:cs="仿宋"/>
          <w:color w:val="000000" w:themeColor="text1"/>
          <w:sz w:val="28"/>
          <w:szCs w:val="28"/>
          <w14:textFill>
            <w14:solidFill>
              <w14:schemeClr w14:val="tx1"/>
            </w14:solidFill>
          </w14:textFill>
        </w:rPr>
        <w:t>启动</w:t>
      </w:r>
      <w:r>
        <w:rPr>
          <w:rFonts w:hint="eastAsia" w:ascii="仿宋" w:hAnsi="仿宋" w:eastAsia="仿宋" w:cs="仿宋"/>
          <w:color w:val="000000" w:themeColor="text1"/>
          <w:sz w:val="28"/>
          <w:szCs w:val="28"/>
          <w14:textFill>
            <w14:solidFill>
              <w14:schemeClr w14:val="tx1"/>
            </w14:solidFill>
          </w14:textFill>
        </w:rPr>
        <w:t>202</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版本科人才培养方案修订工作，并就</w:t>
      </w:r>
      <w:r>
        <w:rPr>
          <w:rFonts w:ascii="仿宋" w:hAnsi="仿宋" w:eastAsia="仿宋" w:cs="仿宋"/>
          <w:color w:val="000000" w:themeColor="text1"/>
          <w:sz w:val="28"/>
          <w:szCs w:val="28"/>
          <w14:textFill>
            <w14:solidFill>
              <w14:schemeClr w14:val="tx1"/>
            </w14:solidFill>
          </w14:textFill>
        </w:rPr>
        <w:t>此项工作</w:t>
      </w:r>
      <w:r>
        <w:rPr>
          <w:rFonts w:hint="eastAsia" w:ascii="仿宋" w:hAnsi="仿宋" w:eastAsia="仿宋" w:cs="仿宋"/>
          <w:color w:val="000000" w:themeColor="text1"/>
          <w:sz w:val="28"/>
          <w:szCs w:val="28"/>
          <w14:textFill>
            <w14:solidFill>
              <w14:schemeClr w14:val="tx1"/>
            </w14:solidFill>
          </w14:textFill>
        </w:rPr>
        <w:t>提出以下指导性意见。</w:t>
      </w:r>
    </w:p>
    <w:p>
      <w:pPr>
        <w:pStyle w:val="2"/>
        <w:ind w:firstLine="643"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一、指导思想</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以习近平新时代中国特色社会主义思想、党的十九大精神和全国教育大会精神为指导，全面贯彻落实立德树人根本任务</w:t>
      </w:r>
      <w:r>
        <w:rPr>
          <w:rFonts w:hint="eastAsia" w:ascii="仿宋" w:hAnsi="仿宋" w:eastAsia="仿宋"/>
          <w:color w:val="000000" w:themeColor="text1"/>
          <w:sz w:val="28"/>
          <w14:textFill>
            <w14:solidFill>
              <w14:schemeClr w14:val="tx1"/>
            </w14:solidFill>
          </w14:textFill>
        </w:rPr>
        <w:t>，把握高等教育历史方位</w:t>
      </w:r>
      <w:r>
        <w:rPr>
          <w:rFonts w:ascii="仿宋" w:hAnsi="仿宋" w:eastAsia="仿宋"/>
          <w:color w:val="000000" w:themeColor="text1"/>
          <w:sz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主动对接国家战略、区域发展和学生自身发展新需求，坚持“学生中心、产出导向、持续改进”的理念，结合学校、学科、专业特色及优势</w:t>
      </w:r>
      <w:r>
        <w:rPr>
          <w:rFonts w:hint="eastAsia" w:ascii="仿宋" w:hAnsi="仿宋" w:eastAsia="仿宋"/>
          <w:color w:val="000000" w:themeColor="text1"/>
          <w:sz w:val="28"/>
          <w14:textFill>
            <w14:solidFill>
              <w14:schemeClr w14:val="tx1"/>
            </w14:solidFill>
          </w14:textFill>
        </w:rPr>
        <w:t>，深化以能力培养为核心的“通识+个性”人才培养模式改革</w:t>
      </w:r>
      <w:r>
        <w:rPr>
          <w:rFonts w:hint="eastAsia" w:ascii="仿宋" w:hAnsi="仿宋" w:eastAsia="仿宋" w:cs="仿宋"/>
          <w:color w:val="000000" w:themeColor="text1"/>
          <w:sz w:val="28"/>
          <w:szCs w:val="28"/>
          <w14:textFill>
            <w14:solidFill>
              <w14:schemeClr w14:val="tx1"/>
            </w14:solidFill>
          </w14:textFill>
        </w:rPr>
        <w:t>，认真审视人才培养的目标达成度、社会适应度、条件保障度、质保有效度和结果满意度，修订具有西安工业大学特色的一流本科人才培养方案，培养德智体美劳全面发展的社会主义建设者和接班人。</w:t>
      </w:r>
    </w:p>
    <w:p>
      <w:pPr>
        <w:pStyle w:val="2"/>
        <w:ind w:firstLine="643"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二、修订思路</w:t>
      </w:r>
    </w:p>
    <w:p>
      <w:pPr>
        <w:pStyle w:val="3"/>
        <w:ind w:firstLine="562" w:firstLineChars="200"/>
        <w:rPr>
          <w:color w:val="000000" w:themeColor="text1"/>
          <w14:textFill>
            <w14:solidFill>
              <w14:schemeClr w14:val="tx1"/>
            </w14:solidFill>
          </w14:textFill>
        </w:rPr>
      </w:pPr>
      <w:r>
        <w:rPr>
          <w:rStyle w:val="87"/>
          <w:rFonts w:hint="eastAsia"/>
          <w:b/>
          <w:bCs/>
          <w:color w:val="000000" w:themeColor="text1"/>
          <w14:textFill>
            <w14:solidFill>
              <w14:schemeClr w14:val="tx1"/>
            </w14:solidFill>
          </w14:textFill>
        </w:rPr>
        <w:t>（一）</w:t>
      </w:r>
      <w:r>
        <w:rPr>
          <w:rFonts w:hint="eastAsia"/>
          <w:color w:val="000000" w:themeColor="text1"/>
          <w14:textFill>
            <w14:solidFill>
              <w14:schemeClr w14:val="tx1"/>
            </w14:solidFill>
          </w14:textFill>
        </w:rPr>
        <w:t>坚持立德树人，构建“五育并举”育人体系</w:t>
      </w:r>
    </w:p>
    <w:p>
      <w:pPr>
        <w:pStyle w:val="9"/>
        <w:spacing w:before="0" w:beforeAutospacing="0" w:after="0" w:afterAutospacing="0"/>
        <w:ind w:firstLine="565" w:firstLineChars="202"/>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认真贯彻落实全国教育大会精神，坚持德育为先，德、智、体、美、劳五育并举，促进学生全面发展、健康成长。坚持立德树人，发挥</w:t>
      </w:r>
      <w:r>
        <w:rPr>
          <w:rFonts w:ascii="仿宋" w:hAnsi="仿宋" w:eastAsia="仿宋" w:cs="仿宋"/>
          <w:color w:val="000000" w:themeColor="text1"/>
          <w:sz w:val="28"/>
          <w:szCs w:val="28"/>
          <w14:textFill>
            <w14:solidFill>
              <w14:schemeClr w14:val="tx1"/>
            </w14:solidFill>
          </w14:textFill>
        </w:rPr>
        <w:t>“三全育人”思想政治工作体系</w:t>
      </w:r>
      <w:r>
        <w:rPr>
          <w:rFonts w:hint="eastAsia" w:ascii="仿宋" w:hAnsi="仿宋" w:eastAsia="仿宋" w:cs="仿宋"/>
          <w:color w:val="000000" w:themeColor="text1"/>
          <w:sz w:val="28"/>
          <w:szCs w:val="28"/>
          <w14:textFill>
            <w14:solidFill>
              <w14:schemeClr w14:val="tx1"/>
            </w14:solidFill>
          </w14:textFill>
        </w:rPr>
        <w:t>育人作用；坚持以智启人，</w:t>
      </w:r>
      <w:r>
        <w:rPr>
          <w:rFonts w:ascii="仿宋" w:hAnsi="仿宋" w:eastAsia="仿宋" w:cs="仿宋"/>
          <w:color w:val="000000" w:themeColor="text1"/>
          <w:sz w:val="28"/>
          <w:szCs w:val="28"/>
          <w14:textFill>
            <w14:solidFill>
              <w14:schemeClr w14:val="tx1"/>
            </w14:solidFill>
          </w14:textFill>
        </w:rPr>
        <w:t>构建特色</w:t>
      </w:r>
      <w:r>
        <w:rPr>
          <w:rFonts w:hint="eastAsia" w:ascii="仿宋" w:hAnsi="仿宋" w:eastAsia="仿宋" w:cs="仿宋"/>
          <w:color w:val="000000" w:themeColor="text1"/>
          <w:sz w:val="28"/>
          <w:szCs w:val="28"/>
          <w14:textFill>
            <w14:solidFill>
              <w14:schemeClr w14:val="tx1"/>
            </w14:solidFill>
          </w14:textFill>
        </w:rPr>
        <w:t>鲜明</w:t>
      </w:r>
      <w:r>
        <w:rPr>
          <w:rFonts w:ascii="仿宋" w:hAnsi="仿宋" w:eastAsia="仿宋" w:cs="仿宋"/>
          <w:color w:val="000000" w:themeColor="text1"/>
          <w:sz w:val="28"/>
          <w:szCs w:val="28"/>
          <w14:textFill>
            <w14:solidFill>
              <w14:schemeClr w14:val="tx1"/>
            </w14:solidFill>
          </w14:textFill>
        </w:rPr>
        <w:t>的学科专业体系</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坚持以体育人，</w:t>
      </w:r>
      <w:r>
        <w:rPr>
          <w:rFonts w:hint="eastAsia" w:ascii="仿宋" w:hAnsi="仿宋" w:eastAsia="仿宋" w:cs="仿宋"/>
          <w:color w:val="000000" w:themeColor="text1"/>
          <w:sz w:val="28"/>
          <w:szCs w:val="28"/>
          <w14:textFill>
            <w14:solidFill>
              <w14:schemeClr w14:val="tx1"/>
            </w14:solidFill>
          </w14:textFill>
        </w:rPr>
        <w:t>引导学生养成良好锻炼习惯和健康生活方式；</w:t>
      </w:r>
      <w:r>
        <w:rPr>
          <w:rFonts w:ascii="仿宋" w:hAnsi="仿宋" w:eastAsia="仿宋" w:cs="仿宋"/>
          <w:color w:val="000000" w:themeColor="text1"/>
          <w:sz w:val="28"/>
          <w:szCs w:val="28"/>
          <w14:textFill>
            <w14:solidFill>
              <w14:schemeClr w14:val="tx1"/>
            </w14:solidFill>
          </w14:textFill>
        </w:rPr>
        <w:t>坚持以美化人</w:t>
      </w:r>
      <w:r>
        <w:rPr>
          <w:rFonts w:hint="eastAsia" w:ascii="仿宋" w:hAnsi="仿宋" w:eastAsia="仿宋" w:cs="仿宋"/>
          <w:color w:val="000000" w:themeColor="text1"/>
          <w:sz w:val="28"/>
          <w:szCs w:val="28"/>
          <w14:textFill>
            <w14:solidFill>
              <w14:schemeClr w14:val="tx1"/>
            </w14:solidFill>
          </w14:textFill>
        </w:rPr>
        <w:t>，强化面向全体学生的普及艺术教育；</w:t>
      </w:r>
      <w:r>
        <w:rPr>
          <w:rFonts w:ascii="仿宋" w:hAnsi="仿宋" w:eastAsia="仿宋" w:cs="仿宋"/>
          <w:color w:val="000000" w:themeColor="text1"/>
          <w:sz w:val="28"/>
          <w:szCs w:val="28"/>
          <w14:textFill>
            <w14:solidFill>
              <w14:schemeClr w14:val="tx1"/>
            </w14:solidFill>
          </w14:textFill>
        </w:rPr>
        <w:t>坚持以劳塑人，将劳动观念和劳动精神教育贯穿人才培养全过程</w:t>
      </w:r>
      <w:r>
        <w:rPr>
          <w:rFonts w:hint="eastAsia" w:ascii="仿宋" w:hAnsi="仿宋" w:eastAsia="仿宋" w:cs="仿宋"/>
          <w:color w:val="000000" w:themeColor="text1"/>
          <w:sz w:val="28"/>
          <w:szCs w:val="28"/>
          <w14:textFill>
            <w14:solidFill>
              <w14:schemeClr w14:val="tx1"/>
            </w14:solidFill>
          </w14:textFill>
        </w:rPr>
        <w:t>。</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（二）坚持产出导向，明确人才培养目标</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围绕学校人才培养总体目标，主动对接国家战略和区域发展新需求，结合学校、学科、专业特色及优势，考虑行业、职业和岗位需求，进一步明确专业培养目标，以培养目标达成为导向重构人才培养体系。专业必须制定公开的、符合学校定位的、适应社会经济发展需要的培养目标；提出明确、公开、可衡量的毕业要求,支撑培养目标的达成；设置合理的课程体系，支撑毕业要求达成。充分调研，听取各方建议与意见，建立包括用人单位、行业专家、毕业校友在内的专业培养方案修订专家组，加大行业企业参与专业人才培养的力度。</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（三）实施大类培养，筑建个性成长空间</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施大类培养，推进完全学分制。按照通识教育、学科基础、专业教育、实践教育和个性化发展五个模块设置课程。学校统一规划通识教育课程，统筹设置学科基础课程。各专业结合自身特色和需求，凸显专业优势和培养特色，加强相近学科、专业的知识共享与融合互通，考虑学生多元化、个性化发展，合理规划专业课程体系，严格控制总学分。开放专业课程，提高选修课程比例，为学生接受不同学科、专业的教育创造条件。对学生的多元化教育进行规划和指导，提供咨询帮助，为每一类学生提出明确的规划与引导方案，促进学生多元化、个性化发展。</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（四）强化底线思维，保证人才培养质量</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照“保合格、上水平、追卓越”的三级专业认证标准，强化底线思维意识，严格对照《普通高等学校本科专业类教学质量国家标准》（以下简称《国标》）和专业认证要求，科学设置专业人才培养目标、毕业要求和课程体系，</w:t>
      </w:r>
      <w:bookmarkStart w:id="0" w:name="_Hlk60928014"/>
      <w:r>
        <w:rPr>
          <w:rFonts w:hint="eastAsia" w:ascii="仿宋" w:hAnsi="仿宋" w:eastAsia="仿宋" w:cs="仿宋"/>
          <w:color w:val="000000" w:themeColor="text1"/>
          <w:sz w:val="28"/>
          <w:szCs w:val="28"/>
          <w14:textFill>
            <w14:solidFill>
              <w14:schemeClr w14:val="tx1"/>
            </w14:solidFill>
          </w14:textFill>
        </w:rPr>
        <w:t>明确培养目标和毕业要求的对应关系、毕业要求和课程体系的对应关系、课程目标与教学内容的对应关系。</w:t>
      </w:r>
      <w:bookmarkEnd w:id="0"/>
      <w:r>
        <w:rPr>
          <w:rFonts w:hint="eastAsia" w:ascii="仿宋" w:hAnsi="仿宋" w:eastAsia="仿宋" w:cs="仿宋"/>
          <w:color w:val="000000" w:themeColor="text1"/>
          <w:sz w:val="28"/>
          <w:szCs w:val="28"/>
          <w14:textFill>
            <w14:solidFill>
              <w14:schemeClr w14:val="tx1"/>
            </w14:solidFill>
          </w14:textFill>
        </w:rPr>
        <w:t>围绕培养目标</w:t>
      </w:r>
      <w:r>
        <w:rPr>
          <w:rFonts w:ascii="仿宋" w:hAnsi="仿宋" w:eastAsia="仿宋" w:cs="仿宋"/>
          <w:color w:val="000000" w:themeColor="text1"/>
          <w:sz w:val="28"/>
          <w:szCs w:val="28"/>
          <w14:textFill>
            <w14:solidFill>
              <w14:schemeClr w14:val="tx1"/>
            </w14:solidFill>
          </w14:textFill>
        </w:rPr>
        <w:t>、毕业要求和课程目标主线</w:t>
      </w:r>
      <w:r>
        <w:rPr>
          <w:rFonts w:hint="eastAsia" w:ascii="仿宋" w:hAnsi="仿宋" w:eastAsia="仿宋" w:cs="仿宋"/>
          <w:color w:val="000000" w:themeColor="text1"/>
          <w:sz w:val="28"/>
          <w:szCs w:val="28"/>
          <w14:textFill>
            <w14:solidFill>
              <w14:schemeClr w14:val="tx1"/>
            </w14:solidFill>
          </w14:textFill>
        </w:rPr>
        <w:t>，积极应用在线开放课程、虚拟仿真技术、线上线下结合等教学手段，开展翻转课堂、探究式、导学式、研讨式等教学方式方法改革。按照新工科、新文科和卓越计划2.0新要求，充分优化课程教学资源，加强相近学科的知识共享与融合互通，注重跨学科、跨专业课程的建设，理清课程逻辑、重塑课程内容，打造金课、淘汰水课，切实提升课程教学质量。</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（五）完善通识教育，加强美育和劳动教育</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引导思想政治理论课程改革创新、完善《大学计算机基础》通过制、实施《大学体育》俱乐部制、推行《大学英语》分类分级教学，重构大学生职业发展规划系列课程，深化通识必修课程改革；完善通识选修课程模块，丰富通识选修课程。以书法、美术、音乐等艺术课程为主体，强化面向全体学生的普及艺术教育，提高学生审美和人文素养。增设劳动教育必修和选修课程，相关通识课、专业课及实践类课程结合课程特点，对学生进行马克思主义劳动观教育，培育学生的创造性劳动能力和诚实守信的合法劳动意识。</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（六）面向产业变革，重构实践教学体系</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在新科技革命和产业变革的背景下，根据培养目标和毕业要求，统筹</w:t>
      </w:r>
      <w:r>
        <w:rPr>
          <w:rFonts w:ascii="仿宋" w:hAnsi="仿宋" w:eastAsia="仿宋" w:cs="仿宋"/>
          <w:color w:val="000000" w:themeColor="text1"/>
          <w:sz w:val="28"/>
          <w:szCs w:val="28"/>
          <w14:textFill>
            <w14:solidFill>
              <w14:schemeClr w14:val="tx1"/>
            </w14:solidFill>
          </w14:textFill>
        </w:rPr>
        <w:t>专业资源，</w:t>
      </w:r>
      <w:r>
        <w:rPr>
          <w:rFonts w:hint="eastAsia" w:ascii="仿宋" w:hAnsi="仿宋" w:eastAsia="仿宋" w:cs="仿宋"/>
          <w:color w:val="000000" w:themeColor="text1"/>
          <w:sz w:val="28"/>
          <w:szCs w:val="28"/>
          <w14:textFill>
            <w14:solidFill>
              <w14:schemeClr w14:val="tx1"/>
            </w14:solidFill>
          </w14:textFill>
        </w:rPr>
        <w:t>按照基础实践、综合实践、创新实践等分层次设置实践教学环节，重塑实践教学体系。合理设置基础工程训练项目，满足</w:t>
      </w:r>
      <w:r>
        <w:rPr>
          <w:rFonts w:ascii="仿宋" w:hAnsi="仿宋" w:eastAsia="仿宋" w:cs="仿宋"/>
          <w:color w:val="000000" w:themeColor="text1"/>
          <w:sz w:val="28"/>
          <w:szCs w:val="28"/>
          <w14:textFill>
            <w14:solidFill>
              <w14:schemeClr w14:val="tx1"/>
            </w14:solidFill>
          </w14:textFill>
        </w:rPr>
        <w:t>国标和专业认证要求</w:t>
      </w:r>
      <w:r>
        <w:rPr>
          <w:rFonts w:hint="eastAsia" w:ascii="仿宋" w:hAnsi="仿宋" w:eastAsia="仿宋" w:cs="仿宋"/>
          <w:color w:val="000000" w:themeColor="text1"/>
          <w:sz w:val="28"/>
          <w:szCs w:val="28"/>
          <w14:textFill>
            <w14:solidFill>
              <w14:schemeClr w14:val="tx1"/>
            </w14:solidFill>
          </w14:textFill>
        </w:rPr>
        <w:t>；以CDIO理念设置基于项目的综合实践课程。开设基于项目的体验式学习课程，强化基于项目的学习，提</w:t>
      </w:r>
      <w:r>
        <w:rPr>
          <w:rFonts w:hint="eastAsia" w:ascii="仿宋" w:hAnsi="仿宋" w:eastAsia="仿宋"/>
          <w:color w:val="000000" w:themeColor="text1"/>
          <w:sz w:val="28"/>
          <w:szCs w:val="28"/>
          <w14:textFill>
            <w14:solidFill>
              <w14:schemeClr w14:val="tx1"/>
            </w14:solidFill>
          </w14:textFill>
        </w:rPr>
        <w:t>升学生创新能力、合作能力与实践能力</w:t>
      </w:r>
      <w:r>
        <w:rPr>
          <w:rFonts w:hint="eastAsia" w:ascii="仿宋" w:hAnsi="仿宋" w:eastAsia="仿宋" w:cs="仿宋"/>
          <w:color w:val="000000" w:themeColor="text1"/>
          <w:sz w:val="28"/>
          <w:szCs w:val="28"/>
          <w14:textFill>
            <w14:solidFill>
              <w14:schemeClr w14:val="tx1"/>
            </w14:solidFill>
          </w14:textFill>
        </w:rPr>
        <w:t>；加大综合性、设计性、创新性实验比重</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提升实验课程的挑战度，培养学生解决复杂问题的能力和高级思维；加强</w:t>
      </w:r>
      <w:r>
        <w:rPr>
          <w:rFonts w:ascii="仿宋" w:hAnsi="仿宋" w:eastAsia="仿宋" w:cs="仿宋"/>
          <w:color w:val="000000" w:themeColor="text1"/>
          <w:sz w:val="28"/>
          <w:szCs w:val="28"/>
          <w14:textFill>
            <w14:solidFill>
              <w14:schemeClr w14:val="tx1"/>
            </w14:solidFill>
          </w14:textFill>
        </w:rPr>
        <w:t>社会实践的专业性，</w:t>
      </w:r>
      <w:r>
        <w:rPr>
          <w:rFonts w:hint="eastAsia" w:ascii="仿宋" w:hAnsi="仿宋" w:eastAsia="仿宋" w:cs="仿宋"/>
          <w:color w:val="000000" w:themeColor="text1"/>
          <w:sz w:val="28"/>
          <w:szCs w:val="28"/>
          <w14:textFill>
            <w14:solidFill>
              <w14:schemeClr w14:val="tx1"/>
            </w14:solidFill>
          </w14:textFill>
        </w:rPr>
        <w:t>培养学生认识社会、研究社会、理解社会、服务社会的意识和能力。</w:t>
      </w:r>
      <w:r>
        <w:rPr>
          <w:rFonts w:ascii="仿宋" w:hAnsi="仿宋" w:eastAsia="仿宋" w:cs="仿宋"/>
          <w:color w:val="000000" w:themeColor="text1"/>
          <w:sz w:val="28"/>
          <w:szCs w:val="28"/>
          <w14:textFill>
            <w14:solidFill>
              <w14:schemeClr w14:val="tx1"/>
            </w14:solidFill>
          </w14:textFill>
        </w:rPr>
        <w:t xml:space="preserve"> </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（七）改革评价方式，促进学生全面发展</w:t>
      </w:r>
    </w:p>
    <w:p>
      <w:pPr>
        <w:adjustRightInd w:val="0"/>
        <w:spacing w:line="360" w:lineRule="auto"/>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创新德智体美劳过程性评价方法，构建“以德为先、能力为重、全面发展”的德智体美劳综合评价体系。将学生践行社会主义核心价值观情况作为学生德育评价的核心内容，充分利用信息化手段，构建“记录日常、多元评价”的德育评价体系。推进本科阶段全覆盖的公共体育课程教学改革，建立日常参与、体质监测和专项运动技能测试相结合的体育评价机制。强化马克思主义劳动观教育，创新公共艺术课程与艺术实践、劳动教育评价方法，实行学分制管理。严格学业标准，全面推行过程性考核与结果性考核有机结合的学业考评制度，不断提升人才培养质量。</w:t>
      </w:r>
    </w:p>
    <w:p>
      <w:pPr>
        <w:pStyle w:val="2"/>
        <w:ind w:firstLine="643"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三、修订要求</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（一）高度重视，成立工作专班</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根据《西安工业大学本科专业人才培养方案管理办法》，成立“校人才培养方案修订工作领导小组”（</w:t>
      </w:r>
      <w:r>
        <w:rPr>
          <w:rFonts w:ascii="仿宋" w:hAnsi="仿宋" w:eastAsia="仿宋" w:cs="仿宋"/>
          <w:color w:val="000000" w:themeColor="text1"/>
          <w:sz w:val="28"/>
          <w:szCs w:val="28"/>
          <w14:textFill>
            <w14:solidFill>
              <w14:schemeClr w14:val="tx1"/>
            </w14:solidFill>
          </w14:textFill>
        </w:rPr>
        <w:t>简称校</w:t>
      </w:r>
      <w:r>
        <w:rPr>
          <w:rFonts w:hint="eastAsia" w:ascii="仿宋" w:hAnsi="仿宋" w:eastAsia="仿宋" w:cs="仿宋"/>
          <w:color w:val="000000" w:themeColor="text1"/>
          <w:sz w:val="28"/>
          <w:szCs w:val="28"/>
          <w14:textFill>
            <w14:solidFill>
              <w14:schemeClr w14:val="tx1"/>
            </w14:solidFill>
          </w14:textFill>
        </w:rPr>
        <w:t>领导</w:t>
      </w:r>
      <w:r>
        <w:rPr>
          <w:rFonts w:ascii="仿宋" w:hAnsi="仿宋" w:eastAsia="仿宋" w:cs="仿宋"/>
          <w:color w:val="000000" w:themeColor="text1"/>
          <w:sz w:val="28"/>
          <w:szCs w:val="28"/>
          <w14:textFill>
            <w14:solidFill>
              <w14:schemeClr w14:val="tx1"/>
            </w14:solidFill>
          </w14:textFill>
        </w:rPr>
        <w:t>小组）</w:t>
      </w:r>
      <w:r>
        <w:rPr>
          <w:rFonts w:hint="eastAsia" w:ascii="仿宋" w:hAnsi="仿宋" w:eastAsia="仿宋" w:cs="仿宋"/>
          <w:color w:val="000000" w:themeColor="text1"/>
          <w:sz w:val="28"/>
          <w:szCs w:val="28"/>
          <w14:textFill>
            <w14:solidFill>
              <w14:schemeClr w14:val="tx1"/>
            </w14:solidFill>
          </w14:textFill>
        </w:rPr>
        <w:t>，负责培养方案工作的统筹规划，包括拟定人才培养方案修订指导意见、组织学院修订培养方案、组织培养方案的校级评审、审定</w:t>
      </w:r>
      <w:r>
        <w:rPr>
          <w:rFonts w:ascii="仿宋" w:hAnsi="仿宋" w:eastAsia="仿宋" w:cs="仿宋"/>
          <w:color w:val="000000" w:themeColor="text1"/>
          <w:sz w:val="28"/>
          <w:szCs w:val="28"/>
          <w14:textFill>
            <w14:solidFill>
              <w14:schemeClr w14:val="tx1"/>
            </w14:solidFill>
          </w14:textFill>
        </w:rPr>
        <w:t>培养方案</w:t>
      </w:r>
      <w:r>
        <w:rPr>
          <w:rFonts w:hint="eastAsia" w:ascii="仿宋" w:hAnsi="仿宋" w:eastAsia="仿宋" w:cs="仿宋"/>
          <w:color w:val="000000" w:themeColor="text1"/>
          <w:sz w:val="28"/>
          <w:szCs w:val="28"/>
          <w14:textFill>
            <w14:solidFill>
              <w14:schemeClr w14:val="tx1"/>
            </w14:solidFill>
          </w14:textFill>
        </w:rPr>
        <w:t>等工作。</w:t>
      </w:r>
    </w:p>
    <w:p>
      <w:pPr>
        <w:autoSpaceDE w:val="0"/>
        <w:autoSpaceDN w:val="0"/>
        <w:adjustRightInd w:val="0"/>
        <w:ind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学院成立由</w:t>
      </w:r>
      <w:r>
        <w:rPr>
          <w:rFonts w:ascii="仿宋" w:hAnsi="仿宋" w:eastAsia="仿宋" w:cs="仿宋"/>
          <w:color w:val="000000" w:themeColor="text1"/>
          <w:sz w:val="28"/>
          <w:szCs w:val="28"/>
          <w14:textFill>
            <w14:solidFill>
              <w14:schemeClr w14:val="tx1"/>
            </w14:solidFill>
          </w14:textFill>
        </w:rPr>
        <w:t>学院</w:t>
      </w:r>
      <w:r>
        <w:rPr>
          <w:rFonts w:hint="eastAsia" w:ascii="仿宋" w:hAnsi="仿宋" w:eastAsia="仿宋" w:cs="仿宋"/>
          <w:color w:val="000000" w:themeColor="text1"/>
          <w:sz w:val="28"/>
          <w:szCs w:val="28"/>
          <w14:textFill>
            <w14:solidFill>
              <w14:schemeClr w14:val="tx1"/>
            </w14:solidFill>
          </w14:textFill>
        </w:rPr>
        <w:t>书记、院长、教学院长、</w:t>
      </w:r>
      <w:r>
        <w:rPr>
          <w:rFonts w:ascii="仿宋" w:hAnsi="仿宋" w:eastAsia="仿宋" w:cs="仿宋"/>
          <w:color w:val="000000" w:themeColor="text1"/>
          <w:sz w:val="28"/>
          <w:szCs w:val="28"/>
          <w14:textFill>
            <w14:solidFill>
              <w14:schemeClr w14:val="tx1"/>
            </w14:solidFill>
          </w14:textFill>
        </w:rPr>
        <w:t>教学指导委员会主任</w:t>
      </w:r>
      <w:r>
        <w:rPr>
          <w:rFonts w:hint="eastAsia" w:ascii="仿宋" w:hAnsi="仿宋" w:eastAsia="仿宋" w:cs="仿宋"/>
          <w:color w:val="000000" w:themeColor="text1"/>
          <w:sz w:val="28"/>
          <w:szCs w:val="28"/>
          <w14:textFill>
            <w14:solidFill>
              <w14:schemeClr w14:val="tx1"/>
            </w14:solidFill>
          </w14:textFill>
        </w:rPr>
        <w:t>等为主要成员的“院级人才培养方案修订工作领导小组”（简称院领导小组），负责组织学院各专业开展</w:t>
      </w:r>
      <w:r>
        <w:rPr>
          <w:rFonts w:ascii="仿宋" w:hAnsi="仿宋" w:eastAsia="仿宋" w:cs="仿宋"/>
          <w:color w:val="000000" w:themeColor="text1"/>
          <w:sz w:val="28"/>
          <w:szCs w:val="28"/>
          <w14:textFill>
            <w14:solidFill>
              <w14:schemeClr w14:val="tx1"/>
            </w14:solidFill>
          </w14:textFill>
        </w:rPr>
        <w:t>调研、</w:t>
      </w:r>
      <w:r>
        <w:rPr>
          <w:rFonts w:hint="eastAsia" w:ascii="仿宋" w:hAnsi="仿宋" w:eastAsia="仿宋" w:cs="仿宋"/>
          <w:color w:val="000000" w:themeColor="text1"/>
          <w:sz w:val="28"/>
          <w:szCs w:val="28"/>
          <w14:textFill>
            <w14:solidFill>
              <w14:schemeClr w14:val="tx1"/>
            </w14:solidFill>
          </w14:textFill>
        </w:rPr>
        <w:t>对</w:t>
      </w:r>
      <w:r>
        <w:rPr>
          <w:rFonts w:ascii="仿宋" w:hAnsi="仿宋" w:eastAsia="仿宋" w:cs="仿宋"/>
          <w:color w:val="000000" w:themeColor="text1"/>
          <w:sz w:val="28"/>
          <w:szCs w:val="28"/>
          <w14:textFill>
            <w14:solidFill>
              <w14:schemeClr w14:val="tx1"/>
            </w14:solidFill>
          </w14:textFill>
        </w:rPr>
        <w:t>上一版人才培养方案进行评价、组织修订</w:t>
      </w:r>
      <w:r>
        <w:rPr>
          <w:rFonts w:hint="eastAsia" w:ascii="仿宋" w:hAnsi="仿宋" w:eastAsia="仿宋" w:cs="仿宋"/>
          <w:color w:val="000000" w:themeColor="text1"/>
          <w:sz w:val="28"/>
          <w:szCs w:val="28"/>
          <w14:textFill>
            <w14:solidFill>
              <w14:schemeClr w14:val="tx1"/>
            </w14:solidFill>
          </w14:textFill>
        </w:rPr>
        <w:t>新版人才</w:t>
      </w:r>
      <w:r>
        <w:rPr>
          <w:rFonts w:ascii="仿宋" w:hAnsi="仿宋" w:eastAsia="仿宋" w:cs="仿宋"/>
          <w:color w:val="000000" w:themeColor="text1"/>
          <w:sz w:val="28"/>
          <w:szCs w:val="28"/>
          <w14:textFill>
            <w14:solidFill>
              <w14:schemeClr w14:val="tx1"/>
            </w14:solidFill>
          </w14:textFill>
        </w:rPr>
        <w:t>培养方案</w:t>
      </w:r>
      <w:r>
        <w:rPr>
          <w:rFonts w:hint="eastAsia" w:ascii="仿宋" w:hAnsi="仿宋" w:eastAsia="仿宋" w:cs="仿宋"/>
          <w:color w:val="000000" w:themeColor="text1"/>
          <w:sz w:val="28"/>
          <w:szCs w:val="28"/>
          <w14:textFill>
            <w14:solidFill>
              <w14:schemeClr w14:val="tx1"/>
            </w14:solidFill>
          </w14:textFill>
        </w:rPr>
        <w:t>、对</w:t>
      </w:r>
      <w:r>
        <w:rPr>
          <w:rFonts w:ascii="仿宋" w:hAnsi="仿宋" w:eastAsia="仿宋" w:cs="仿宋"/>
          <w:color w:val="000000" w:themeColor="text1"/>
          <w:sz w:val="28"/>
          <w:szCs w:val="28"/>
          <w14:textFill>
            <w14:solidFill>
              <w14:schemeClr w14:val="tx1"/>
            </w14:solidFill>
          </w14:textFill>
        </w:rPr>
        <w:t>培养方案</w:t>
      </w:r>
      <w:r>
        <w:rPr>
          <w:rFonts w:hint="eastAsia" w:ascii="仿宋" w:hAnsi="仿宋" w:eastAsia="仿宋" w:cs="仿宋"/>
          <w:color w:val="000000" w:themeColor="text1"/>
          <w:sz w:val="28"/>
          <w:szCs w:val="28"/>
          <w14:textFill>
            <w14:solidFill>
              <w14:schemeClr w14:val="tx1"/>
            </w14:solidFill>
          </w14:textFill>
        </w:rPr>
        <w:t>进行合理性</w:t>
      </w:r>
      <w:r>
        <w:rPr>
          <w:rFonts w:ascii="仿宋" w:hAnsi="仿宋" w:eastAsia="仿宋" w:cs="仿宋"/>
          <w:color w:val="000000" w:themeColor="text1"/>
          <w:sz w:val="28"/>
          <w:szCs w:val="28"/>
          <w14:textFill>
            <w14:solidFill>
              <w14:schemeClr w14:val="tx1"/>
            </w14:solidFill>
          </w14:textFill>
        </w:rPr>
        <w:t>评价等</w:t>
      </w:r>
      <w:r>
        <w:rPr>
          <w:rFonts w:hint="eastAsia" w:ascii="仿宋" w:hAnsi="仿宋" w:eastAsia="仿宋" w:cs="仿宋"/>
          <w:color w:val="000000" w:themeColor="text1"/>
          <w:sz w:val="28"/>
          <w:szCs w:val="28"/>
          <w14:textFill>
            <w14:solidFill>
              <w14:schemeClr w14:val="tx1"/>
            </w14:solidFill>
          </w14:textFill>
        </w:rPr>
        <w:t>工作。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各专业成立</w:t>
      </w:r>
      <w:r>
        <w:rPr>
          <w:rFonts w:hint="eastAsia" w:ascii="仿宋" w:hAnsi="仿宋" w:eastAsia="仿宋" w:cs="仿宋"/>
          <w:color w:val="000000" w:themeColor="text1"/>
          <w:sz w:val="28"/>
          <w:szCs w:val="28"/>
          <w14:textFill>
            <w14:solidFill>
              <w14:schemeClr w14:val="tx1"/>
            </w14:solidFill>
          </w14:textFill>
        </w:rPr>
        <w:t>由专业负责人</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课程负责人、教师代表、企业/行业专家组成</w:t>
      </w:r>
      <w:r>
        <w:rPr>
          <w:rFonts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专业</w:t>
      </w:r>
      <w:r>
        <w:rPr>
          <w:rFonts w:ascii="仿宋" w:hAnsi="仿宋" w:eastAsia="仿宋" w:cs="仿宋"/>
          <w:color w:val="000000" w:themeColor="text1"/>
          <w:sz w:val="28"/>
          <w:szCs w:val="28"/>
          <w14:textFill>
            <w14:solidFill>
              <w14:schemeClr w14:val="tx1"/>
            </w14:solidFill>
          </w14:textFill>
        </w:rPr>
        <w:t>人才培养方案修订工作小组”</w:t>
      </w:r>
      <w:r>
        <w:rPr>
          <w:rFonts w:hint="eastAsia" w:ascii="仿宋" w:hAnsi="仿宋" w:eastAsia="仿宋" w:cs="仿宋"/>
          <w:color w:val="000000" w:themeColor="text1"/>
          <w:sz w:val="28"/>
          <w:szCs w:val="28"/>
          <w14:textFill>
            <w14:solidFill>
              <w14:schemeClr w14:val="tx1"/>
            </w14:solidFill>
          </w14:textFill>
        </w:rPr>
        <w:t>，负责培养方案的具体修订工作。工作小组中企业、行业专家不少于2人</w:t>
      </w:r>
      <w:r>
        <w:rPr>
          <w:rFonts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培养方案由学院教学指导委员会审议，校教学指导委员会审批</w:t>
      </w:r>
      <w:r>
        <w:rPr>
          <w:rFonts w:ascii="仿宋" w:hAnsi="仿宋" w:eastAsia="仿宋" w:cs="仿宋"/>
          <w:color w:val="000000" w:themeColor="text1"/>
          <w:sz w:val="28"/>
          <w:szCs w:val="28"/>
          <w14:textFill>
            <w14:solidFill>
              <w14:schemeClr w14:val="tx1"/>
            </w14:solidFill>
          </w14:textFill>
        </w:rPr>
        <w:t>。</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（二）深入调研，反向设计人才培养方案</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专业开展深入、广泛、有效地调研，包括针对本校教师、教学管理者的内部调研，针对用人单位、校友、行业部门及其他利益相关者的外部调研。每个专业调研不少于5家用人单位，不少于5所高校。根据调研结果，结合学校、学科、专业特色及优势，考虑行业、职业和岗位新需求，明确专业培养目标。根据专业培养目标，提出专业毕业要求，设置合理的课程体系，并明确培养目标和毕业要求的对应关系、毕业要求和课程体系的对应关系、课程目标与教学内容的对应关系。</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（三）严格对标，满足《国标》和专业认证要求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专业人才培养目标、毕业要求、总学时/学分、课程学分比例、知识体系、主要实践性教学环节、专业核心课等必须满足</w:t>
      </w:r>
      <w:bookmarkStart w:id="1" w:name="_Hlk60923719"/>
      <w:r>
        <w:rPr>
          <w:rFonts w:hint="eastAsia" w:ascii="仿宋" w:hAnsi="仿宋" w:eastAsia="仿宋" w:cs="仿宋"/>
          <w:color w:val="000000" w:themeColor="text1"/>
          <w:sz w:val="28"/>
          <w:szCs w:val="28"/>
          <w14:textFill>
            <w14:solidFill>
              <w14:schemeClr w14:val="tx1"/>
            </w14:solidFill>
          </w14:textFill>
        </w:rPr>
        <w:t>《国标》要求</w:t>
      </w:r>
      <w:bookmarkEnd w:id="1"/>
      <w:r>
        <w:rPr>
          <w:rFonts w:hint="eastAsia" w:ascii="仿宋" w:hAnsi="仿宋" w:eastAsia="仿宋" w:cs="仿宋"/>
          <w:color w:val="000000" w:themeColor="text1"/>
          <w:sz w:val="28"/>
          <w:szCs w:val="28"/>
          <w14:textFill>
            <w14:solidFill>
              <w14:schemeClr w14:val="tx1"/>
            </w14:solidFill>
          </w14:textFill>
        </w:rPr>
        <w:t>，工科专业还应满足《工程教育认证通用标准》及专业类补充标准，非工科专业还应满足《人文类、社科类、理学类、农林专业认证标准（征求意见版）》。培养方案修订完成后，各专业</w:t>
      </w:r>
      <w:r>
        <w:rPr>
          <w:rFonts w:ascii="仿宋" w:hAnsi="仿宋" w:eastAsia="仿宋" w:cs="仿宋"/>
          <w:color w:val="000000" w:themeColor="text1"/>
          <w:sz w:val="28"/>
          <w:szCs w:val="28"/>
          <w14:textFill>
            <w14:solidFill>
              <w14:schemeClr w14:val="tx1"/>
            </w14:solidFill>
          </w14:textFill>
        </w:rPr>
        <w:t>填写</w:t>
      </w:r>
      <w:r>
        <w:rPr>
          <w:rFonts w:hint="eastAsia" w:ascii="仿宋" w:hAnsi="仿宋" w:eastAsia="仿宋" w:cs="仿宋"/>
          <w:color w:val="000000" w:themeColor="text1"/>
          <w:sz w:val="28"/>
          <w:szCs w:val="28"/>
          <w14:textFill>
            <w14:solidFill>
              <w14:schemeClr w14:val="tx1"/>
            </w14:solidFill>
          </w14:textFill>
        </w:rPr>
        <w:t>对标情况，作为培养方案的一部分进行审议</w:t>
      </w:r>
      <w:r>
        <w:rPr>
          <w:rFonts w:ascii="仿宋" w:hAnsi="仿宋" w:eastAsia="仿宋" w:cs="仿宋"/>
          <w:color w:val="000000" w:themeColor="text1"/>
          <w:sz w:val="28"/>
          <w:szCs w:val="28"/>
          <w14:textFill>
            <w14:solidFill>
              <w14:schemeClr w14:val="tx1"/>
            </w14:solidFill>
          </w14:textFill>
        </w:rPr>
        <w:t>。</w:t>
      </w:r>
    </w:p>
    <w:p>
      <w:pPr>
        <w:pStyle w:val="3"/>
        <w:ind w:firstLine="562" w:firstLineChars="200"/>
        <w:rPr>
          <w:color w:val="000000" w:themeColor="text1"/>
          <w14:textFill>
            <w14:solidFill>
              <w14:schemeClr w14:val="tx1"/>
            </w14:solidFill>
          </w14:textFill>
        </w:rPr>
      </w:pPr>
      <w:r>
        <w:rPr>
          <w:rStyle w:val="87"/>
          <w:rFonts w:hint="eastAsia"/>
          <w:b/>
          <w:bCs/>
          <w:color w:val="000000" w:themeColor="text1"/>
          <w14:textFill>
            <w14:solidFill>
              <w14:schemeClr w14:val="tx1"/>
            </w14:solidFill>
          </w14:textFill>
        </w:rPr>
        <w:t>（四）</w:t>
      </w:r>
      <w:r>
        <w:rPr>
          <w:rFonts w:hint="eastAsia"/>
          <w:color w:val="000000" w:themeColor="text1"/>
          <w14:textFill>
            <w14:solidFill>
              <w14:schemeClr w14:val="tx1"/>
            </w14:solidFill>
          </w14:textFill>
        </w:rPr>
        <w:t>价值引领，建立特色思政育人体系</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强化立德树人意识，</w:t>
      </w:r>
      <w:r>
        <w:rPr>
          <w:rFonts w:ascii="仿宋" w:hAnsi="仿宋" w:eastAsia="仿宋"/>
          <w:color w:val="000000" w:themeColor="text1"/>
          <w:sz w:val="28"/>
          <w14:textFill>
            <w14:solidFill>
              <w14:schemeClr w14:val="tx1"/>
            </w14:solidFill>
          </w14:textFill>
        </w:rPr>
        <w:t>深入挖掘</w:t>
      </w:r>
      <w:r>
        <w:rPr>
          <w:rFonts w:hint="eastAsia" w:ascii="仿宋" w:hAnsi="仿宋" w:eastAsia="仿宋"/>
          <w:color w:val="000000" w:themeColor="text1"/>
          <w:sz w:val="28"/>
          <w14:textFill>
            <w14:solidFill>
              <w14:schemeClr w14:val="tx1"/>
            </w14:solidFill>
          </w14:textFill>
        </w:rPr>
        <w:t>“把一切献给党”的兵工精神和</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忠诚进取铸辉煌</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精工博艺育英才”的“西工精神”</w:t>
      </w:r>
      <w:r>
        <w:rPr>
          <w:rFonts w:hint="eastAsia" w:ascii="仿宋" w:hAnsi="仿宋" w:eastAsia="仿宋"/>
          <w:color w:val="000000" w:themeColor="text1"/>
          <w:sz w:val="28"/>
          <w14:textFill>
            <w14:solidFill>
              <w14:schemeClr w14:val="tx1"/>
            </w14:solidFill>
          </w14:textFill>
        </w:rPr>
        <w:t>等优秀思政资源，加强“四史”课程建设，</w:t>
      </w:r>
      <w:r>
        <w:rPr>
          <w:rFonts w:hint="eastAsia" w:ascii="仿宋" w:hAnsi="仿宋" w:eastAsia="仿宋"/>
          <w:color w:val="000000" w:themeColor="text1"/>
          <w:sz w:val="28"/>
          <w:szCs w:val="28"/>
          <w14:textFill>
            <w14:solidFill>
              <w14:schemeClr w14:val="tx1"/>
            </w14:solidFill>
          </w14:textFill>
        </w:rPr>
        <w:t>推动思想政治理论课改革创新，发挥思政课程育人主渠道作用，将思想政治教育贯穿教育教学全过程；</w:t>
      </w:r>
      <w:r>
        <w:rPr>
          <w:rFonts w:hint="eastAsia" w:ascii="仿宋" w:hAnsi="仿宋" w:eastAsia="仿宋" w:cs="仿宋_GB2312"/>
          <w:color w:val="000000" w:themeColor="text1"/>
          <w:sz w:val="28"/>
          <w:szCs w:val="28"/>
          <w14:textFill>
            <w14:solidFill>
              <w14:schemeClr w14:val="tx1"/>
            </w14:solidFill>
          </w14:textFill>
        </w:rPr>
        <w:t>专业</w:t>
      </w:r>
      <w:r>
        <w:rPr>
          <w:rFonts w:ascii="仿宋" w:hAnsi="仿宋" w:eastAsia="仿宋" w:cs="仿宋_GB2312"/>
          <w:color w:val="000000" w:themeColor="text1"/>
          <w:sz w:val="28"/>
          <w:szCs w:val="28"/>
          <w14:textFill>
            <w14:solidFill>
              <w14:schemeClr w14:val="tx1"/>
            </w14:solidFill>
          </w14:textFill>
        </w:rPr>
        <w:t>课程</w:t>
      </w:r>
      <w:r>
        <w:rPr>
          <w:rFonts w:hint="eastAsia" w:ascii="仿宋" w:hAnsi="仿宋" w:eastAsia="仿宋" w:cs="仿宋"/>
          <w:color w:val="000000" w:themeColor="text1"/>
          <w:sz w:val="28"/>
          <w:szCs w:val="28"/>
          <w14:textFill>
            <w14:solidFill>
              <w14:schemeClr w14:val="tx1"/>
            </w14:solidFill>
          </w14:textFill>
        </w:rPr>
        <w:t>要根据自身特点和育人要求，坚持知识传授与价值引领相统一、显性教育与隐性教育相统一，明确课程思政重点，</w:t>
      </w:r>
      <w:r>
        <w:rPr>
          <w:rFonts w:hint="eastAsia" w:ascii="仿宋" w:hAnsi="仿宋" w:eastAsia="仿宋"/>
          <w:color w:val="000000" w:themeColor="text1"/>
          <w:sz w:val="28"/>
          <w14:textFill>
            <w14:solidFill>
              <w14:schemeClr w14:val="tx1"/>
            </w14:solidFill>
          </w14:textFill>
        </w:rPr>
        <w:t>挖掘</w:t>
      </w:r>
      <w:r>
        <w:rPr>
          <w:rFonts w:ascii="仿宋" w:hAnsi="仿宋" w:eastAsia="仿宋"/>
          <w:color w:val="000000" w:themeColor="text1"/>
          <w:sz w:val="28"/>
          <w14:textFill>
            <w14:solidFill>
              <w14:schemeClr w14:val="tx1"/>
            </w14:solidFill>
          </w14:textFill>
        </w:rPr>
        <w:t>兵工故事、西工故事</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合理设计思想政治教育内容，在实现课程知识传授的基础上，将知识教育同价值观教育有机结合，使各类课程与思政课程同向同行，形成协同效应。</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（五）按照大类，合理设置学科基础课程</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根据学校新生院专业大类划分方案（附件</w:t>
      </w:r>
      <w:r>
        <w:rPr>
          <w:rFonts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），在一年级实施大类培养。各专业</w:t>
      </w:r>
      <w:r>
        <w:rPr>
          <w:rFonts w:ascii="仿宋" w:hAnsi="仿宋" w:eastAsia="仿宋"/>
          <w:color w:val="000000" w:themeColor="text1"/>
          <w:sz w:val="28"/>
          <w:szCs w:val="28"/>
          <w14:textFill>
            <w14:solidFill>
              <w14:schemeClr w14:val="tx1"/>
            </w14:solidFill>
          </w14:textFill>
        </w:rPr>
        <w:t>统一</w:t>
      </w:r>
      <w:r>
        <w:rPr>
          <w:rFonts w:hint="eastAsia" w:ascii="仿宋" w:hAnsi="仿宋" w:eastAsia="仿宋"/>
          <w:color w:val="000000" w:themeColor="text1"/>
          <w:sz w:val="28"/>
          <w:szCs w:val="28"/>
          <w14:textFill>
            <w14:solidFill>
              <w14:schemeClr w14:val="tx1"/>
            </w14:solidFill>
          </w14:textFill>
        </w:rPr>
        <w:t>在附件2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基础上</w:t>
      </w:r>
      <w:r>
        <w:rPr>
          <w:rFonts w:hint="eastAsia" w:ascii="仿宋" w:hAnsi="仿宋" w:eastAsia="仿宋"/>
          <w:color w:val="000000" w:themeColor="text1"/>
          <w:sz w:val="28"/>
          <w:szCs w:val="28"/>
          <w14:textFill>
            <w14:solidFill>
              <w14:schemeClr w14:val="tx1"/>
            </w14:solidFill>
          </w14:textFill>
        </w:rPr>
        <w:t>按专业大类或一级学科设置学科基础课程。原则上大类内各专业第一、第二学期的学科基础课程应保持一致，夯实学科基础。</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因材施教，创造个性化</w:t>
      </w:r>
      <w:r>
        <w:rPr>
          <w:color w:val="000000" w:themeColor="text1"/>
          <w14:textFill>
            <w14:solidFill>
              <w14:schemeClr w14:val="tx1"/>
            </w14:solidFill>
          </w14:textFill>
        </w:rPr>
        <w:t>发展</w:t>
      </w:r>
      <w:r>
        <w:rPr>
          <w:rFonts w:hint="eastAsia"/>
          <w:color w:val="000000" w:themeColor="text1"/>
          <w14:textFill>
            <w14:solidFill>
              <w14:schemeClr w14:val="tx1"/>
            </w14:solidFill>
          </w14:textFill>
        </w:rPr>
        <w:t>空间</w:t>
      </w:r>
    </w:p>
    <w:p>
      <w:pPr>
        <w:ind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培养方案</w:t>
      </w:r>
      <w:r>
        <w:rPr>
          <w:rFonts w:ascii="仿宋" w:hAnsi="仿宋" w:eastAsia="仿宋" w:cs="仿宋"/>
          <w:color w:val="000000" w:themeColor="text1"/>
          <w:sz w:val="28"/>
          <w:szCs w:val="28"/>
          <w14:textFill>
            <w14:solidFill>
              <w14:schemeClr w14:val="tx1"/>
            </w14:solidFill>
          </w14:textFill>
        </w:rPr>
        <w:t>中的课程分为通识教育、学科基础、专业教育</w:t>
      </w:r>
      <w:r>
        <w:rPr>
          <w:rFonts w:hint="eastAsia" w:ascii="仿宋" w:hAnsi="仿宋" w:eastAsia="仿宋" w:cs="仿宋"/>
          <w:color w:val="000000" w:themeColor="text1"/>
          <w:sz w:val="28"/>
          <w:szCs w:val="28"/>
          <w14:textFill>
            <w14:solidFill>
              <w14:schemeClr w14:val="tx1"/>
            </w14:solidFill>
          </w14:textFill>
        </w:rPr>
        <w:t>、实践</w:t>
      </w:r>
      <w:r>
        <w:rPr>
          <w:rFonts w:ascii="仿宋" w:hAnsi="仿宋" w:eastAsia="仿宋" w:cs="仿宋"/>
          <w:color w:val="000000" w:themeColor="text1"/>
          <w:sz w:val="28"/>
          <w:szCs w:val="28"/>
          <w14:textFill>
            <w14:solidFill>
              <w14:schemeClr w14:val="tx1"/>
            </w14:solidFill>
          </w14:textFill>
        </w:rPr>
        <w:t>教育和个性化发展</w:t>
      </w:r>
      <w:r>
        <w:rPr>
          <w:rFonts w:hint="eastAsia" w:ascii="仿宋" w:hAnsi="仿宋" w:eastAsia="仿宋" w:cs="仿宋"/>
          <w:color w:val="000000" w:themeColor="text1"/>
          <w:sz w:val="28"/>
          <w:szCs w:val="28"/>
          <w14:textFill>
            <w14:solidFill>
              <w14:schemeClr w14:val="tx1"/>
            </w14:solidFill>
          </w14:textFill>
        </w:rPr>
        <w:t>五个</w:t>
      </w:r>
      <w:r>
        <w:rPr>
          <w:rFonts w:ascii="仿宋" w:hAnsi="仿宋" w:eastAsia="仿宋" w:cs="仿宋"/>
          <w:color w:val="000000" w:themeColor="text1"/>
          <w:sz w:val="28"/>
          <w:szCs w:val="28"/>
          <w14:textFill>
            <w14:solidFill>
              <w14:schemeClr w14:val="tx1"/>
            </w14:solidFill>
          </w14:textFill>
        </w:rPr>
        <w:t>模块</w:t>
      </w:r>
      <w:r>
        <w:rPr>
          <w:rFonts w:hint="eastAsia" w:ascii="仿宋" w:hAnsi="仿宋" w:eastAsia="仿宋" w:cs="仿宋"/>
          <w:color w:val="000000" w:themeColor="text1"/>
          <w:sz w:val="28"/>
          <w:szCs w:val="28"/>
          <w14:textFill>
            <w14:solidFill>
              <w14:schemeClr w14:val="tx1"/>
            </w14:solidFill>
          </w14:textFill>
        </w:rPr>
        <w:t>。为给</w:t>
      </w:r>
      <w:r>
        <w:rPr>
          <w:rFonts w:ascii="仿宋" w:hAnsi="仿宋" w:eastAsia="仿宋" w:cs="仿宋"/>
          <w:color w:val="000000" w:themeColor="text1"/>
          <w:sz w:val="28"/>
          <w:szCs w:val="28"/>
          <w14:textFill>
            <w14:solidFill>
              <w14:schemeClr w14:val="tx1"/>
            </w14:solidFill>
          </w14:textFill>
        </w:rPr>
        <w:t>学生创造个性化发展空间，在通识教育设置</w:t>
      </w:r>
      <w:r>
        <w:rPr>
          <w:rFonts w:hint="eastAsia" w:ascii="仿宋" w:hAnsi="仿宋" w:eastAsia="仿宋" w:cs="仿宋"/>
          <w:color w:val="000000" w:themeColor="text1"/>
          <w:sz w:val="28"/>
          <w:szCs w:val="28"/>
          <w14:textFill>
            <w14:solidFill>
              <w14:schemeClr w14:val="tx1"/>
            </w14:solidFill>
          </w14:textFill>
        </w:rPr>
        <w:t>选修课的</w:t>
      </w:r>
      <w:r>
        <w:rPr>
          <w:rFonts w:ascii="仿宋" w:hAnsi="仿宋" w:eastAsia="仿宋" w:cs="仿宋"/>
          <w:color w:val="000000" w:themeColor="text1"/>
          <w:sz w:val="28"/>
          <w:szCs w:val="28"/>
          <w14:textFill>
            <w14:solidFill>
              <w14:schemeClr w14:val="tx1"/>
            </w14:solidFill>
          </w14:textFill>
        </w:rPr>
        <w:t>基础上，</w:t>
      </w:r>
      <w:r>
        <w:rPr>
          <w:rFonts w:hint="eastAsia" w:ascii="仿宋" w:hAnsi="仿宋" w:eastAsia="仿宋" w:cs="仿宋"/>
          <w:color w:val="000000" w:themeColor="text1"/>
          <w:sz w:val="28"/>
          <w:szCs w:val="28"/>
          <w14:textFill>
            <w14:solidFill>
              <w14:schemeClr w14:val="tx1"/>
            </w14:solidFill>
          </w14:textFill>
        </w:rPr>
        <w:t>设置</w:t>
      </w:r>
      <w:r>
        <w:rPr>
          <w:rFonts w:ascii="仿宋" w:hAnsi="仿宋" w:eastAsia="仿宋" w:cs="仿宋"/>
          <w:color w:val="000000" w:themeColor="text1"/>
          <w:sz w:val="28"/>
          <w:szCs w:val="28"/>
          <w14:textFill>
            <w14:solidFill>
              <w14:schemeClr w14:val="tx1"/>
            </w14:solidFill>
          </w14:textFill>
        </w:rPr>
        <w:t>个性化发展课程模块</w:t>
      </w:r>
      <w:r>
        <w:rPr>
          <w:rFonts w:hint="eastAsia" w:ascii="仿宋" w:hAnsi="仿宋" w:eastAsia="仿宋" w:cs="仿宋"/>
          <w:color w:val="000000" w:themeColor="text1"/>
          <w:sz w:val="28"/>
          <w:szCs w:val="28"/>
          <w14:textFill>
            <w14:solidFill>
              <w14:schemeClr w14:val="tx1"/>
            </w14:solidFill>
          </w14:textFill>
        </w:rPr>
        <w:t>。同时</w:t>
      </w:r>
      <w:r>
        <w:rPr>
          <w:rFonts w:ascii="仿宋" w:hAnsi="仿宋" w:eastAsia="仿宋" w:cs="仿宋"/>
          <w:color w:val="000000" w:themeColor="text1"/>
          <w:sz w:val="28"/>
          <w:szCs w:val="28"/>
          <w14:textFill>
            <w14:solidFill>
              <w14:schemeClr w14:val="tx1"/>
            </w14:solidFill>
          </w14:textFill>
        </w:rPr>
        <w:t>，鼓励专业改革专业教育课程和</w:t>
      </w:r>
      <w:r>
        <w:rPr>
          <w:rFonts w:hint="eastAsia" w:ascii="仿宋" w:hAnsi="仿宋" w:eastAsia="仿宋" w:cs="仿宋"/>
          <w:color w:val="000000" w:themeColor="text1"/>
          <w:sz w:val="28"/>
          <w:szCs w:val="28"/>
          <w14:textFill>
            <w14:solidFill>
              <w14:schemeClr w14:val="tx1"/>
            </w14:solidFill>
          </w14:textFill>
        </w:rPr>
        <w:t>实践</w:t>
      </w:r>
      <w:r>
        <w:rPr>
          <w:rFonts w:ascii="仿宋" w:hAnsi="仿宋" w:eastAsia="仿宋" w:cs="仿宋"/>
          <w:color w:val="000000" w:themeColor="text1"/>
          <w:sz w:val="28"/>
          <w:szCs w:val="28"/>
          <w14:textFill>
            <w14:solidFill>
              <w14:schemeClr w14:val="tx1"/>
            </w14:solidFill>
          </w14:textFill>
        </w:rPr>
        <w:t>教育</w:t>
      </w:r>
      <w:r>
        <w:rPr>
          <w:rFonts w:hint="eastAsia" w:ascii="仿宋" w:hAnsi="仿宋" w:eastAsia="仿宋" w:cs="仿宋"/>
          <w:color w:val="000000" w:themeColor="text1"/>
          <w:sz w:val="28"/>
          <w:szCs w:val="28"/>
          <w14:textFill>
            <w14:solidFill>
              <w14:schemeClr w14:val="tx1"/>
            </w14:solidFill>
          </w14:textFill>
        </w:rPr>
        <w:t>课程</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转</w:t>
      </w:r>
      <w:r>
        <w:rPr>
          <w:rFonts w:ascii="仿宋" w:hAnsi="仿宋" w:eastAsia="仿宋" w:cs="仿宋"/>
          <w:color w:val="000000" w:themeColor="text1"/>
          <w:sz w:val="28"/>
          <w:szCs w:val="28"/>
          <w14:textFill>
            <w14:solidFill>
              <w14:schemeClr w14:val="tx1"/>
            </w14:solidFill>
          </w14:textFill>
        </w:rPr>
        <w:t>单一</w:t>
      </w:r>
      <w:r>
        <w:rPr>
          <w:rFonts w:hint="eastAsia" w:ascii="仿宋" w:hAnsi="仿宋" w:eastAsia="仿宋" w:cs="仿宋"/>
          <w:color w:val="000000" w:themeColor="text1"/>
          <w:sz w:val="28"/>
          <w:szCs w:val="28"/>
          <w14:textFill>
            <w14:solidFill>
              <w14:schemeClr w14:val="tx1"/>
            </w14:solidFill>
          </w14:textFill>
        </w:rPr>
        <w:t>教学</w:t>
      </w:r>
      <w:r>
        <w:rPr>
          <w:rFonts w:ascii="仿宋" w:hAnsi="仿宋" w:eastAsia="仿宋" w:cs="仿宋"/>
          <w:color w:val="000000" w:themeColor="text1"/>
          <w:sz w:val="28"/>
          <w:szCs w:val="28"/>
          <w14:textFill>
            <w14:solidFill>
              <w14:schemeClr w14:val="tx1"/>
            </w14:solidFill>
          </w14:textFill>
        </w:rPr>
        <w:t>内容必修为多样化教学内容限制性选修。</w:t>
      </w:r>
      <w:r>
        <w:rPr>
          <w:rFonts w:hint="eastAsia" w:ascii="仿宋" w:hAnsi="仿宋" w:eastAsia="仿宋" w:cs="仿宋"/>
          <w:color w:val="000000" w:themeColor="text1"/>
          <w:sz w:val="28"/>
          <w:szCs w:val="28"/>
          <w14:textFill>
            <w14:solidFill>
              <w14:schemeClr w14:val="tx1"/>
            </w14:solidFill>
          </w14:textFill>
        </w:rPr>
        <w:t>培养方案</w:t>
      </w:r>
      <w:r>
        <w:rPr>
          <w:rFonts w:ascii="仿宋" w:hAnsi="仿宋" w:eastAsia="仿宋" w:cs="仿宋"/>
          <w:color w:val="000000" w:themeColor="text1"/>
          <w:sz w:val="28"/>
          <w:szCs w:val="28"/>
          <w14:textFill>
            <w14:solidFill>
              <w14:schemeClr w14:val="tx1"/>
            </w14:solidFill>
          </w14:textFill>
        </w:rPr>
        <w:t>中选修课</w:t>
      </w:r>
      <w:r>
        <w:rPr>
          <w:rFonts w:hint="eastAsia" w:ascii="仿宋" w:hAnsi="仿宋" w:eastAsia="仿宋" w:cs="仿宋"/>
          <w:color w:val="000000" w:themeColor="text1"/>
          <w:sz w:val="28"/>
          <w:szCs w:val="28"/>
          <w14:textFill>
            <w14:solidFill>
              <w14:schemeClr w14:val="tx1"/>
            </w14:solidFill>
          </w14:textFill>
        </w:rPr>
        <w:t>学分应占</w:t>
      </w:r>
      <w:r>
        <w:rPr>
          <w:rFonts w:ascii="仿宋" w:hAnsi="仿宋" w:eastAsia="仿宋" w:cs="仿宋"/>
          <w:color w:val="000000" w:themeColor="text1"/>
          <w:sz w:val="28"/>
          <w:szCs w:val="28"/>
          <w14:textFill>
            <w14:solidFill>
              <w14:schemeClr w14:val="tx1"/>
            </w14:solidFill>
          </w14:textFill>
        </w:rPr>
        <w:t>总学分</w:t>
      </w:r>
      <w:r>
        <w:rPr>
          <w:rFonts w:hint="eastAsia" w:ascii="仿宋" w:hAnsi="仿宋" w:eastAsia="仿宋" w:cs="仿宋"/>
          <w:color w:val="000000" w:themeColor="text1"/>
          <w:sz w:val="28"/>
          <w:szCs w:val="28"/>
          <w14:textFill>
            <w14:solidFill>
              <w14:schemeClr w14:val="tx1"/>
            </w14:solidFill>
          </w14:textFill>
        </w:rPr>
        <w:t>不低于25</w:t>
      </w:r>
      <w:r>
        <w:rPr>
          <w:rFonts w:ascii="仿宋" w:hAnsi="仿宋" w:eastAsia="仿宋" w:cs="仿宋"/>
          <w:color w:val="000000" w:themeColor="text1"/>
          <w:sz w:val="28"/>
          <w:szCs w:val="28"/>
          <w14:textFill>
            <w14:solidFill>
              <w14:schemeClr w14:val="tx1"/>
            </w14:solidFill>
          </w14:textFill>
        </w:rPr>
        <w:t>%。</w:t>
      </w:r>
    </w:p>
    <w:p>
      <w:pPr>
        <w:ind w:firstLine="565"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个性化发展课程</w:t>
      </w:r>
      <w:r>
        <w:rPr>
          <w:rFonts w:hint="eastAsia" w:ascii="仿宋" w:hAnsi="仿宋" w:eastAsia="仿宋" w:cs="仿宋"/>
          <w:color w:val="000000" w:themeColor="text1"/>
          <w:sz w:val="28"/>
          <w:szCs w:val="28"/>
          <w14:textFill>
            <w14:solidFill>
              <w14:schemeClr w14:val="tx1"/>
            </w14:solidFill>
          </w14:textFill>
        </w:rPr>
        <w:t>是指学生根据自己的兴趣爱好、职业发展规划和学院对人才培养的修读建议自主选择修读的课程，包括专业方向课、专业选修课、自选课程（专业建议</w:t>
      </w:r>
      <w:r>
        <w:rPr>
          <w:rFonts w:ascii="仿宋" w:hAnsi="仿宋" w:eastAsia="仿宋" w:cs="仿宋"/>
          <w:color w:val="000000" w:themeColor="text1"/>
          <w:sz w:val="28"/>
          <w:szCs w:val="28"/>
          <w14:textFill>
            <w14:solidFill>
              <w14:schemeClr w14:val="tx1"/>
            </w14:solidFill>
          </w14:textFill>
        </w:rPr>
        <w:t>修读的</w:t>
      </w:r>
      <w:r>
        <w:rPr>
          <w:rFonts w:hint="eastAsia" w:ascii="仿宋" w:hAnsi="仿宋" w:eastAsia="仿宋" w:cs="仿宋"/>
          <w:color w:val="000000" w:themeColor="text1"/>
          <w:sz w:val="28"/>
          <w:szCs w:val="28"/>
          <w14:textFill>
            <w14:solidFill>
              <w14:schemeClr w14:val="tx1"/>
            </w14:solidFill>
          </w14:textFill>
        </w:rPr>
        <w:t>其它</w:t>
      </w:r>
      <w:r>
        <w:rPr>
          <w:rFonts w:ascii="仿宋" w:hAnsi="仿宋" w:eastAsia="仿宋" w:cs="仿宋"/>
          <w:color w:val="000000" w:themeColor="text1"/>
          <w:sz w:val="28"/>
          <w:szCs w:val="28"/>
          <w14:textFill>
            <w14:solidFill>
              <w14:schemeClr w14:val="tx1"/>
            </w14:solidFill>
          </w14:textFill>
        </w:rPr>
        <w:t>专业</w:t>
      </w:r>
      <w:r>
        <w:rPr>
          <w:rFonts w:hint="eastAsia" w:ascii="仿宋" w:hAnsi="仿宋" w:eastAsia="仿宋" w:cs="仿宋"/>
          <w:color w:val="000000" w:themeColor="text1"/>
          <w:sz w:val="28"/>
          <w:szCs w:val="28"/>
          <w14:textFill>
            <w14:solidFill>
              <w14:schemeClr w14:val="tx1"/>
            </w14:solidFill>
          </w14:textFill>
        </w:rPr>
        <w:t>课程、本硕</w:t>
      </w:r>
      <w:r>
        <w:rPr>
          <w:rFonts w:ascii="仿宋" w:hAnsi="仿宋" w:eastAsia="仿宋" w:cs="仿宋"/>
          <w:color w:val="000000" w:themeColor="text1"/>
          <w:sz w:val="28"/>
          <w:szCs w:val="28"/>
          <w14:textFill>
            <w14:solidFill>
              <w14:schemeClr w14:val="tx1"/>
            </w14:solidFill>
          </w14:textFill>
        </w:rPr>
        <w:t>贯通课程</w:t>
      </w:r>
      <w:r>
        <w:rPr>
          <w:rFonts w:hint="eastAsia" w:ascii="仿宋" w:hAnsi="仿宋" w:eastAsia="仿宋" w:cs="仿宋"/>
          <w:color w:val="000000" w:themeColor="text1"/>
          <w:sz w:val="28"/>
          <w:szCs w:val="28"/>
          <w14:textFill>
            <w14:solidFill>
              <w14:schemeClr w14:val="tx1"/>
            </w14:solidFill>
          </w14:textFill>
        </w:rPr>
        <w:t>）。其中专业开设的选修课学分与要求学生修读本专业选修课学分的比例原则上不低于2:1。原则上，所有学院均应将课程100%开放，并</w:t>
      </w:r>
      <w:r>
        <w:rPr>
          <w:rFonts w:ascii="仿宋" w:hAnsi="仿宋" w:eastAsia="仿宋" w:cs="仿宋"/>
          <w:color w:val="000000" w:themeColor="text1"/>
          <w:sz w:val="28"/>
          <w:szCs w:val="28"/>
          <w14:textFill>
            <w14:solidFill>
              <w14:schemeClr w14:val="tx1"/>
            </w14:solidFill>
          </w14:textFill>
        </w:rPr>
        <w:t>公布容量，</w:t>
      </w:r>
      <w:r>
        <w:rPr>
          <w:rFonts w:hint="eastAsia" w:ascii="仿宋" w:hAnsi="仿宋" w:eastAsia="仿宋" w:cs="仿宋"/>
          <w:color w:val="000000" w:themeColor="text1"/>
          <w:sz w:val="28"/>
          <w:szCs w:val="28"/>
          <w14:textFill>
            <w14:solidFill>
              <w14:schemeClr w14:val="tx1"/>
            </w14:solidFill>
          </w14:textFill>
        </w:rPr>
        <w:t>为学生接受不同学科的训练和熏陶创造条件。</w:t>
      </w:r>
    </w:p>
    <w:p>
      <w:pPr>
        <w:ind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学院应按照《西安工业大学本科生学业导师制实施办法（试行）》，充分发挥学业导师作用，结合学生特点和学习能力，为每一位学生制订个性化学业规划，对学生的个性化发展进行引导，促进学生个性化、多元化发展。</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（七）优化资源，重构实践教学体系</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按标准设置基础工程训练内容。</w:t>
      </w:r>
      <w:r>
        <w:rPr>
          <w:rFonts w:hint="eastAsia" w:ascii="仿宋" w:hAnsi="仿宋" w:eastAsia="仿宋"/>
          <w:color w:val="000000" w:themeColor="text1"/>
          <w:sz w:val="28"/>
          <w:szCs w:val="28"/>
          <w14:textFill>
            <w14:solidFill>
              <w14:schemeClr w14:val="tx1"/>
            </w14:solidFill>
          </w14:textFill>
        </w:rPr>
        <w:t>《国标》和工程教育认证标准中有金工实习/工程训练环节要求的专业，从《工程训练》（附件2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）和《智能制造创新创业实训》（附件2</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）中选择所需模块支撑毕业要求。两门课程原则上安排在第三、</w:t>
      </w:r>
      <w:r>
        <w:rPr>
          <w:rFonts w:ascii="仿宋" w:hAnsi="仿宋" w:eastAsia="仿宋"/>
          <w:color w:val="000000" w:themeColor="text1"/>
          <w:sz w:val="28"/>
          <w:szCs w:val="28"/>
          <w14:textFill>
            <w14:solidFill>
              <w14:schemeClr w14:val="tx1"/>
            </w14:solidFill>
          </w14:textFill>
        </w:rPr>
        <w:t>四学期</w:t>
      </w:r>
      <w:r>
        <w:rPr>
          <w:rFonts w:hint="eastAsia" w:ascii="仿宋" w:hAnsi="仿宋" w:eastAsia="仿宋"/>
          <w:color w:val="000000" w:themeColor="text1"/>
          <w:sz w:val="28"/>
          <w:szCs w:val="28"/>
          <w14:textFill>
            <w14:solidFill>
              <w14:schemeClr w14:val="tx1"/>
            </w14:solidFill>
          </w14:textFill>
        </w:rPr>
        <w:t>开课。</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2.按</w:t>
      </w:r>
      <w:r>
        <w:rPr>
          <w:rFonts w:ascii="仿宋" w:hAnsi="仿宋" w:eastAsia="仿宋"/>
          <w:b/>
          <w:color w:val="000000" w:themeColor="text1"/>
          <w:sz w:val="28"/>
          <w:szCs w:val="28"/>
          <w14:textFill>
            <w14:solidFill>
              <w14:schemeClr w14:val="tx1"/>
            </w14:solidFill>
          </w14:textFill>
        </w:rPr>
        <w:t>毕业要求选择</w:t>
      </w:r>
      <w:r>
        <w:rPr>
          <w:rFonts w:hint="eastAsia" w:ascii="仿宋" w:hAnsi="仿宋" w:eastAsia="仿宋"/>
          <w:b/>
          <w:color w:val="000000" w:themeColor="text1"/>
          <w:sz w:val="28"/>
          <w:szCs w:val="28"/>
          <w14:textFill>
            <w14:solidFill>
              <w14:schemeClr w14:val="tx1"/>
            </w14:solidFill>
          </w14:textFill>
        </w:rPr>
        <w:t>理工文管</w:t>
      </w:r>
      <w:r>
        <w:rPr>
          <w:rFonts w:ascii="仿宋" w:hAnsi="仿宋" w:eastAsia="仿宋"/>
          <w:b/>
          <w:color w:val="000000" w:themeColor="text1"/>
          <w:sz w:val="28"/>
          <w:szCs w:val="28"/>
          <w14:textFill>
            <w14:solidFill>
              <w14:schemeClr w14:val="tx1"/>
            </w14:solidFill>
          </w14:textFill>
        </w:rPr>
        <w:t>实训。</w:t>
      </w:r>
      <w:r>
        <w:rPr>
          <w:rFonts w:ascii="仿宋" w:hAnsi="仿宋" w:eastAsia="仿宋"/>
          <w:color w:val="000000" w:themeColor="text1"/>
          <w:sz w:val="28"/>
          <w:szCs w:val="28"/>
          <w14:textFill>
            <w14:solidFill>
              <w14:schemeClr w14:val="tx1"/>
            </w14:solidFill>
          </w14:textFill>
        </w:rPr>
        <w:t>专业</w:t>
      </w:r>
      <w:r>
        <w:rPr>
          <w:rFonts w:hint="eastAsia" w:ascii="仿宋" w:hAnsi="仿宋" w:eastAsia="仿宋"/>
          <w:color w:val="000000" w:themeColor="text1"/>
          <w:sz w:val="28"/>
          <w:szCs w:val="28"/>
          <w14:textFill>
            <w14:solidFill>
              <w14:schemeClr w14:val="tx1"/>
            </w14:solidFill>
          </w14:textFill>
        </w:rPr>
        <w:t>按照</w:t>
      </w:r>
      <w:r>
        <w:rPr>
          <w:rFonts w:ascii="仿宋" w:hAnsi="仿宋" w:eastAsia="仿宋"/>
          <w:color w:val="000000" w:themeColor="text1"/>
          <w:sz w:val="28"/>
          <w:szCs w:val="28"/>
          <w14:textFill>
            <w14:solidFill>
              <w14:schemeClr w14:val="tx1"/>
            </w14:solidFill>
          </w14:textFill>
        </w:rPr>
        <w:t>人才培养目标和毕业要求，</w:t>
      </w:r>
      <w:r>
        <w:rPr>
          <w:rFonts w:hint="eastAsia" w:ascii="仿宋" w:hAnsi="仿宋" w:eastAsia="仿宋"/>
          <w:color w:val="000000" w:themeColor="text1"/>
          <w:sz w:val="28"/>
          <w:szCs w:val="28"/>
          <w14:textFill>
            <w14:solidFill>
              <w14:schemeClr w14:val="tx1"/>
            </w14:solidFill>
          </w14:textFill>
        </w:rPr>
        <w:t>在</w:t>
      </w:r>
      <w:r>
        <w:rPr>
          <w:rFonts w:ascii="仿宋" w:hAnsi="仿宋" w:eastAsia="仿宋"/>
          <w:color w:val="000000" w:themeColor="text1"/>
          <w:sz w:val="28"/>
          <w:szCs w:val="28"/>
          <w14:textFill>
            <w14:solidFill>
              <w14:schemeClr w14:val="tx1"/>
            </w14:solidFill>
          </w14:textFill>
        </w:rPr>
        <w:t>理工文管实训中选择至少</w:t>
      </w:r>
      <w:r>
        <w:rPr>
          <w:rFonts w:hint="eastAsia" w:ascii="仿宋" w:hAnsi="仿宋" w:eastAsia="仿宋"/>
          <w:color w:val="000000" w:themeColor="text1"/>
          <w:sz w:val="28"/>
          <w:szCs w:val="28"/>
          <w14:textFill>
            <w14:solidFill>
              <w14:schemeClr w14:val="tx1"/>
            </w14:solidFill>
          </w14:textFill>
        </w:rPr>
        <w:t>2项</w:t>
      </w:r>
      <w:r>
        <w:rPr>
          <w:rFonts w:ascii="仿宋" w:hAnsi="仿宋" w:eastAsia="仿宋"/>
          <w:color w:val="000000" w:themeColor="text1"/>
          <w:sz w:val="28"/>
          <w:szCs w:val="28"/>
          <w14:textFill>
            <w14:solidFill>
              <w14:schemeClr w14:val="tx1"/>
            </w14:solidFill>
          </w14:textFill>
        </w:rPr>
        <w:t>实训</w:t>
      </w:r>
      <w:r>
        <w:rPr>
          <w:rFonts w:hint="eastAsia" w:ascii="仿宋" w:hAnsi="仿宋" w:eastAsia="仿宋"/>
          <w:color w:val="000000" w:themeColor="text1"/>
          <w:sz w:val="28"/>
          <w:szCs w:val="28"/>
          <w14:textFill>
            <w14:solidFill>
              <w14:schemeClr w14:val="tx1"/>
            </w14:solidFill>
          </w14:textFill>
        </w:rPr>
        <w:t>，加强</w:t>
      </w:r>
      <w:r>
        <w:rPr>
          <w:rFonts w:ascii="仿宋" w:hAnsi="仿宋" w:eastAsia="仿宋"/>
          <w:color w:val="000000" w:themeColor="text1"/>
          <w:sz w:val="28"/>
          <w:szCs w:val="28"/>
          <w14:textFill>
            <w14:solidFill>
              <w14:schemeClr w14:val="tx1"/>
            </w14:solidFill>
          </w14:textFill>
        </w:rPr>
        <w:t>学生创新思维和创业能力</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培养。</w:t>
      </w:r>
    </w:p>
    <w:p>
      <w:pPr>
        <w:ind w:firstLine="570"/>
        <w:rPr>
          <w:rFonts w:ascii="仿宋" w:hAnsi="仿宋" w:eastAsia="仿宋"/>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．以CDIO</w:t>
      </w:r>
      <w:r>
        <w:rPr>
          <w:rFonts w:ascii="仿宋" w:hAnsi="仿宋" w:eastAsia="仿宋"/>
          <w:b/>
          <w:color w:val="000000" w:themeColor="text1"/>
          <w:sz w:val="28"/>
          <w:szCs w:val="28"/>
          <w14:textFill>
            <w14:solidFill>
              <w14:schemeClr w14:val="tx1"/>
            </w14:solidFill>
          </w14:textFill>
        </w:rPr>
        <w:t>理念设置</w:t>
      </w:r>
      <w:r>
        <w:rPr>
          <w:rFonts w:hint="eastAsia" w:ascii="仿宋" w:hAnsi="仿宋" w:eastAsia="仿宋"/>
          <w:b/>
          <w:color w:val="000000" w:themeColor="text1"/>
          <w:sz w:val="28"/>
          <w:szCs w:val="28"/>
          <w14:textFill>
            <w14:solidFill>
              <w14:schemeClr w14:val="tx1"/>
            </w14:solidFill>
          </w14:textFill>
        </w:rPr>
        <w:t>基于项目的综合实践课程。</w:t>
      </w:r>
      <w:r>
        <w:rPr>
          <w:rFonts w:hint="eastAsia" w:ascii="仿宋" w:hAnsi="仿宋" w:eastAsia="仿宋"/>
          <w:color w:val="000000" w:themeColor="text1"/>
          <w:sz w:val="28"/>
          <w:szCs w:val="28"/>
          <w14:textFill>
            <w14:solidFill>
              <w14:schemeClr w14:val="tx1"/>
            </w14:solidFill>
          </w14:textFill>
        </w:rPr>
        <w:t>根据人才培养新需求，</w:t>
      </w:r>
      <w:r>
        <w:rPr>
          <w:rFonts w:hint="eastAsia" w:ascii="仿宋" w:hAnsi="仿宋" w:eastAsia="仿宋"/>
          <w:b/>
          <w:color w:val="000000" w:themeColor="text1"/>
          <w:sz w:val="28"/>
          <w:szCs w:val="28"/>
          <w14:textFill>
            <w14:solidFill>
              <w14:schemeClr w14:val="tx1"/>
            </w14:solidFill>
          </w14:textFill>
        </w:rPr>
        <w:t>原则</w:t>
      </w:r>
      <w:r>
        <w:rPr>
          <w:rFonts w:ascii="仿宋" w:hAnsi="仿宋" w:eastAsia="仿宋"/>
          <w:b/>
          <w:color w:val="000000" w:themeColor="text1"/>
          <w:sz w:val="28"/>
          <w:szCs w:val="28"/>
          <w14:textFill>
            <w14:solidFill>
              <w14:schemeClr w14:val="tx1"/>
            </w14:solidFill>
          </w14:textFill>
        </w:rPr>
        <w:t>上</w:t>
      </w:r>
      <w:r>
        <w:rPr>
          <w:rFonts w:hint="eastAsia" w:ascii="仿宋" w:hAnsi="仿宋" w:eastAsia="仿宋"/>
          <w:b/>
          <w:color w:val="000000" w:themeColor="text1"/>
          <w:sz w:val="28"/>
          <w:szCs w:val="28"/>
          <w14:textFill>
            <w14:solidFill>
              <w14:schemeClr w14:val="tx1"/>
            </w14:solidFill>
          </w14:textFill>
        </w:rPr>
        <w:t>各专业应</w:t>
      </w:r>
      <w:r>
        <w:rPr>
          <w:rFonts w:ascii="仿宋" w:hAnsi="仿宋" w:eastAsia="仿宋"/>
          <w:b/>
          <w:color w:val="000000" w:themeColor="text1"/>
          <w:sz w:val="28"/>
          <w:szCs w:val="28"/>
          <w14:textFill>
            <w14:solidFill>
              <w14:schemeClr w14:val="tx1"/>
            </w14:solidFill>
          </w14:textFill>
        </w:rPr>
        <w:t>开设一门基于项目的</w:t>
      </w:r>
      <w:r>
        <w:rPr>
          <w:rFonts w:hint="eastAsia" w:ascii="仿宋" w:hAnsi="仿宋" w:eastAsia="仿宋"/>
          <w:b/>
          <w:color w:val="000000" w:themeColor="text1"/>
          <w:sz w:val="28"/>
          <w:szCs w:val="28"/>
          <w14:textFill>
            <w14:solidFill>
              <w14:schemeClr w14:val="tx1"/>
            </w14:solidFill>
          </w14:textFill>
        </w:rPr>
        <w:t>专业综合实践</w:t>
      </w:r>
      <w:r>
        <w:rPr>
          <w:rFonts w:ascii="仿宋" w:hAnsi="仿宋" w:eastAsia="仿宋"/>
          <w:b/>
          <w:color w:val="000000" w:themeColor="text1"/>
          <w:sz w:val="28"/>
          <w:szCs w:val="28"/>
          <w14:textFill>
            <w14:solidFill>
              <w14:schemeClr w14:val="tx1"/>
            </w14:solidFill>
          </w14:textFill>
        </w:rPr>
        <w:t>课程</w:t>
      </w:r>
      <w:r>
        <w:rPr>
          <w:rFonts w:hint="eastAsia" w:ascii="仿宋" w:hAnsi="仿宋" w:eastAsia="仿宋"/>
          <w:b/>
          <w:color w:val="000000" w:themeColor="text1"/>
          <w:sz w:val="28"/>
          <w:szCs w:val="28"/>
          <w14:textFill>
            <w14:solidFill>
              <w14:schemeClr w14:val="tx1"/>
            </w14:solidFill>
          </w14:textFill>
        </w:rPr>
        <w:t>（不少于4</w:t>
      </w:r>
      <w:r>
        <w:rPr>
          <w:rFonts w:ascii="仿宋" w:hAnsi="仿宋" w:eastAsia="仿宋"/>
          <w:b/>
          <w:color w:val="000000" w:themeColor="text1"/>
          <w:sz w:val="28"/>
          <w:szCs w:val="28"/>
          <w14:textFill>
            <w14:solidFill>
              <w14:schemeClr w14:val="tx1"/>
            </w14:solidFill>
          </w14:textFill>
        </w:rPr>
        <w:t>学分</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课程应按照</w:t>
      </w:r>
      <w:r>
        <w:rPr>
          <w:rFonts w:ascii="仿宋" w:hAnsi="仿宋" w:eastAsia="仿宋"/>
          <w:color w:val="000000" w:themeColor="text1"/>
          <w:sz w:val="28"/>
          <w:szCs w:val="28"/>
          <w14:textFill>
            <w14:solidFill>
              <w14:schemeClr w14:val="tx1"/>
            </w14:solidFill>
          </w14:textFill>
        </w:rPr>
        <w:t>CDIO</w:t>
      </w:r>
      <w:r>
        <w:rPr>
          <w:rFonts w:hint="eastAsia" w:ascii="仿宋" w:hAnsi="仿宋" w:eastAsia="仿宋"/>
          <w:color w:val="000000" w:themeColor="text1"/>
          <w:sz w:val="28"/>
          <w:szCs w:val="28"/>
          <w14:textFill>
            <w14:solidFill>
              <w14:schemeClr w14:val="tx1"/>
            </w14:solidFill>
          </w14:textFill>
        </w:rPr>
        <w:t>理念，强化基于项目的学习</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专业</w:t>
      </w:r>
      <w:r>
        <w:rPr>
          <w:rFonts w:ascii="仿宋" w:hAnsi="仿宋" w:eastAsia="仿宋"/>
          <w:color w:val="000000" w:themeColor="text1"/>
          <w:sz w:val="28"/>
          <w:szCs w:val="28"/>
          <w14:textFill>
            <w14:solidFill>
              <w14:schemeClr w14:val="tx1"/>
            </w14:solidFill>
          </w14:textFill>
        </w:rPr>
        <w:t>可</w:t>
      </w:r>
      <w:r>
        <w:rPr>
          <w:rFonts w:hint="eastAsia" w:ascii="仿宋" w:hAnsi="仿宋" w:eastAsia="仿宋"/>
          <w:color w:val="000000" w:themeColor="text1"/>
          <w:sz w:val="28"/>
          <w:szCs w:val="28"/>
          <w14:textFill>
            <w14:solidFill>
              <w14:schemeClr w14:val="tx1"/>
            </w14:solidFill>
          </w14:textFill>
        </w:rPr>
        <w:t>依托智造创新工场、校内外</w:t>
      </w:r>
      <w:r>
        <w:rPr>
          <w:rFonts w:ascii="仿宋" w:hAnsi="仿宋" w:eastAsia="仿宋"/>
          <w:color w:val="000000" w:themeColor="text1"/>
          <w:sz w:val="28"/>
          <w:szCs w:val="28"/>
          <w14:textFill>
            <w14:solidFill>
              <w14:schemeClr w14:val="tx1"/>
            </w14:solidFill>
          </w14:textFill>
        </w:rPr>
        <w:t>实践基地</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专业实验室，</w:t>
      </w:r>
      <w:r>
        <w:rPr>
          <w:rFonts w:hint="eastAsia" w:ascii="仿宋" w:hAnsi="仿宋" w:eastAsia="仿宋"/>
          <w:color w:val="000000" w:themeColor="text1"/>
          <w:sz w:val="28"/>
          <w:szCs w:val="28"/>
          <w14:textFill>
            <w14:solidFill>
              <w14:schemeClr w14:val="tx1"/>
            </w14:solidFill>
          </w14:textFill>
        </w:rPr>
        <w:t>将重要学科竞赛、科学研究、工程应用、大创项目、</w:t>
      </w:r>
      <w:r>
        <w:rPr>
          <w:rFonts w:ascii="仿宋" w:hAnsi="仿宋" w:eastAsia="仿宋"/>
          <w:color w:val="000000" w:themeColor="text1"/>
          <w:sz w:val="28"/>
          <w:szCs w:val="28"/>
          <w14:textFill>
            <w14:solidFill>
              <w14:schemeClr w14:val="tx1"/>
            </w14:solidFill>
          </w14:textFill>
        </w:rPr>
        <w:t>现有</w:t>
      </w:r>
      <w:r>
        <w:rPr>
          <w:rFonts w:hint="eastAsia" w:ascii="仿宋" w:hAnsi="仿宋" w:eastAsia="仿宋"/>
          <w:color w:val="000000" w:themeColor="text1"/>
          <w:sz w:val="28"/>
          <w:szCs w:val="28"/>
          <w14:textFill>
            <w14:solidFill>
              <w14:schemeClr w14:val="tx1"/>
            </w14:solidFill>
          </w14:textFill>
        </w:rPr>
        <w:t>零散实践</w:t>
      </w:r>
      <w:r>
        <w:rPr>
          <w:rFonts w:ascii="仿宋" w:hAnsi="仿宋" w:eastAsia="仿宋"/>
          <w:color w:val="000000" w:themeColor="text1"/>
          <w:sz w:val="28"/>
          <w:szCs w:val="28"/>
          <w14:textFill>
            <w14:solidFill>
              <w14:schemeClr w14:val="tx1"/>
            </w14:solidFill>
          </w14:textFill>
        </w:rPr>
        <w:t>环节</w:t>
      </w:r>
      <w:r>
        <w:rPr>
          <w:rFonts w:hint="eastAsia" w:ascii="仿宋" w:hAnsi="仿宋" w:eastAsia="仿宋"/>
          <w:color w:val="000000" w:themeColor="text1"/>
          <w:sz w:val="28"/>
          <w:szCs w:val="28"/>
          <w14:textFill>
            <w14:solidFill>
              <w14:schemeClr w14:val="tx1"/>
            </w14:solidFill>
          </w14:textFill>
        </w:rPr>
        <w:t>等重新</w:t>
      </w:r>
      <w:r>
        <w:rPr>
          <w:rFonts w:ascii="仿宋" w:hAnsi="仿宋" w:eastAsia="仿宋"/>
          <w:color w:val="000000" w:themeColor="text1"/>
          <w:sz w:val="28"/>
          <w:szCs w:val="28"/>
          <w14:textFill>
            <w14:solidFill>
              <w14:schemeClr w14:val="tx1"/>
            </w14:solidFill>
          </w14:textFill>
        </w:rPr>
        <w:t>整合</w:t>
      </w:r>
      <w:r>
        <w:rPr>
          <w:rFonts w:hint="eastAsia" w:ascii="仿宋" w:hAnsi="仿宋" w:eastAsia="仿宋"/>
          <w:color w:val="000000" w:themeColor="text1"/>
          <w:sz w:val="28"/>
          <w:szCs w:val="28"/>
          <w14:textFill>
            <w14:solidFill>
              <w14:schemeClr w14:val="tx1"/>
            </w14:solidFill>
          </w14:textFill>
        </w:rPr>
        <w:t>，确定与</w:t>
      </w:r>
      <w:r>
        <w:rPr>
          <w:rFonts w:ascii="仿宋" w:hAnsi="仿宋" w:eastAsia="仿宋"/>
          <w:color w:val="000000" w:themeColor="text1"/>
          <w:sz w:val="28"/>
          <w:szCs w:val="28"/>
          <w14:textFill>
            <w14:solidFill>
              <w14:schemeClr w14:val="tx1"/>
            </w14:solidFill>
          </w14:textFill>
        </w:rPr>
        <w:t>学校、专业特色与优势结合紧密的项目载体，</w:t>
      </w:r>
      <w:r>
        <w:rPr>
          <w:rFonts w:hint="eastAsia" w:ascii="仿宋" w:hAnsi="仿宋" w:eastAsia="仿宋"/>
          <w:color w:val="000000" w:themeColor="text1"/>
          <w:sz w:val="28"/>
          <w:szCs w:val="28"/>
          <w14:textFill>
            <w14:solidFill>
              <w14:schemeClr w14:val="tx1"/>
            </w14:solidFill>
          </w14:textFill>
        </w:rPr>
        <w:t>构建基础实践、综合实践、创新实践等不同层级的模块，每个</w:t>
      </w:r>
      <w:r>
        <w:rPr>
          <w:rFonts w:ascii="仿宋" w:hAnsi="仿宋" w:eastAsia="仿宋"/>
          <w:color w:val="000000" w:themeColor="text1"/>
          <w:sz w:val="28"/>
          <w:szCs w:val="28"/>
          <w14:textFill>
            <w14:solidFill>
              <w14:schemeClr w14:val="tx1"/>
            </w14:solidFill>
          </w14:textFill>
        </w:rPr>
        <w:t>模块</w:t>
      </w:r>
      <w:r>
        <w:rPr>
          <w:rFonts w:hint="eastAsia" w:ascii="仿宋" w:hAnsi="仿宋" w:eastAsia="仿宋"/>
          <w:color w:val="000000" w:themeColor="text1"/>
          <w:sz w:val="28"/>
          <w:szCs w:val="28"/>
          <w14:textFill>
            <w14:solidFill>
              <w14:schemeClr w14:val="tx1"/>
            </w14:solidFill>
          </w14:textFill>
        </w:rPr>
        <w:t>设置</w:t>
      </w:r>
      <w:r>
        <w:rPr>
          <w:rFonts w:ascii="仿宋" w:hAnsi="仿宋" w:eastAsia="仿宋"/>
          <w:color w:val="000000" w:themeColor="text1"/>
          <w:sz w:val="28"/>
          <w:szCs w:val="28"/>
          <w14:textFill>
            <w14:solidFill>
              <w14:schemeClr w14:val="tx1"/>
            </w14:solidFill>
          </w14:textFill>
        </w:rPr>
        <w:t>多个项目供学生选择</w:t>
      </w:r>
      <w:r>
        <w:rPr>
          <w:rFonts w:hint="eastAsia" w:ascii="仿宋" w:hAnsi="仿宋" w:eastAsia="仿宋"/>
          <w:color w:val="000000" w:themeColor="text1"/>
          <w:sz w:val="28"/>
          <w:szCs w:val="28"/>
          <w14:textFill>
            <w14:solidFill>
              <w14:schemeClr w14:val="tx1"/>
            </w14:solidFill>
          </w14:textFill>
        </w:rPr>
        <w:t>，按照“做中学”的教学理念设计教学，着力提升学生创新能力、合作能力与实践能力。</w:t>
      </w:r>
    </w:p>
    <w:p>
      <w:pPr>
        <w:pStyle w:val="83"/>
        <w:ind w:firstLine="562"/>
        <w:rPr>
          <w:rFonts w:ascii="仿宋" w:hAnsi="仿宋" w:eastAsia="仿宋" w:cs="仿宋"/>
          <w:b/>
          <w:color w:val="FF0000"/>
          <w:sz w:val="28"/>
          <w:szCs w:val="28"/>
        </w:rPr>
      </w:pPr>
      <w:r>
        <w:rPr>
          <w:rFonts w:ascii="仿宋" w:hAnsi="仿宋" w:eastAsia="仿宋" w:cs="仿宋"/>
          <w:b/>
          <w:color w:val="000000" w:themeColor="text1"/>
          <w:sz w:val="28"/>
          <w:szCs w:val="28"/>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．提升实践类课程的挑战度。</w:t>
      </w:r>
      <w:r>
        <w:rPr>
          <w:rFonts w:hint="eastAsia" w:ascii="仿宋" w:hAnsi="仿宋" w:eastAsia="仿宋" w:cs="仿宋"/>
          <w:color w:val="000000" w:themeColor="text1"/>
          <w:sz w:val="28"/>
          <w:szCs w:val="28"/>
          <w14:textFill>
            <w14:solidFill>
              <w14:schemeClr w14:val="tx1"/>
            </w14:solidFill>
          </w14:textFill>
        </w:rPr>
        <w:t>各专业要强化创新实践探索，积极开设综合性</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创新性实验/实训/设计，充分利用信息技术，在“能实不虚”的原则下加强虚拟仿真实验项目的应用，提升实验课程的挑战度，培养学生解决复杂问题的能力和高级思维。</w:t>
      </w:r>
      <w:r>
        <w:rPr>
          <w:rFonts w:hint="eastAsia" w:ascii="仿宋" w:hAnsi="仿宋" w:eastAsia="仿宋" w:cs="仿宋"/>
          <w:b/>
          <w:color w:val="000000" w:themeColor="text1"/>
          <w:sz w:val="28"/>
          <w:szCs w:val="28"/>
          <w14:textFill>
            <w14:solidFill>
              <w14:schemeClr w14:val="tx1"/>
            </w14:solidFill>
          </w14:textFill>
        </w:rPr>
        <w:t>综合性</w:t>
      </w:r>
      <w:r>
        <w:rPr>
          <w:rFonts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设计性、创新性实验项目达到6</w:t>
      </w:r>
      <w:r>
        <w:rPr>
          <w:rFonts w:ascii="仿宋" w:hAnsi="仿宋" w:eastAsia="仿宋" w:cs="仿宋"/>
          <w:b/>
          <w:color w:val="000000" w:themeColor="text1"/>
          <w:sz w:val="28"/>
          <w:szCs w:val="28"/>
          <w14:textFill>
            <w14:solidFill>
              <w14:schemeClr w14:val="tx1"/>
            </w14:solidFill>
          </w14:textFill>
        </w:rPr>
        <w:t>0</w:t>
      </w:r>
      <w:r>
        <w:rPr>
          <w:rFonts w:hint="eastAsia" w:ascii="仿宋" w:hAnsi="仿宋" w:eastAsia="仿宋" w:cs="仿宋"/>
          <w:b/>
          <w:color w:val="000000" w:themeColor="text1"/>
          <w:sz w:val="28"/>
          <w:szCs w:val="28"/>
          <w14:textFill>
            <w14:solidFill>
              <w14:schemeClr w14:val="tx1"/>
            </w14:solidFill>
          </w14:textFill>
        </w:rPr>
        <w:t>%以上。鼓励</w:t>
      </w:r>
      <w:r>
        <w:rPr>
          <w:rFonts w:ascii="仿宋" w:hAnsi="仿宋" w:eastAsia="仿宋" w:cs="仿宋"/>
          <w:b/>
          <w:color w:val="000000" w:themeColor="text1"/>
          <w:sz w:val="28"/>
          <w:szCs w:val="28"/>
          <w14:textFill>
            <w14:solidFill>
              <w14:schemeClr w14:val="tx1"/>
            </w14:solidFill>
          </w14:textFill>
        </w:rPr>
        <w:t>专业开设一定数量的选修实验，满足个性化人才培养需求。</w:t>
      </w:r>
    </w:p>
    <w:p>
      <w:pPr>
        <w:pStyle w:val="83"/>
        <w:ind w:firstLine="562"/>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color w:val="000000" w:themeColor="text1"/>
          <w:sz w:val="28"/>
          <w:szCs w:val="28"/>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设置专业性社会实践课程。</w:t>
      </w:r>
      <w:r>
        <w:rPr>
          <w:rFonts w:hint="eastAsia" w:ascii="仿宋" w:hAnsi="仿宋" w:eastAsia="仿宋" w:cs="仿宋"/>
          <w:color w:val="000000" w:themeColor="text1"/>
          <w:sz w:val="28"/>
          <w:szCs w:val="28"/>
          <w14:textFill>
            <w14:solidFill>
              <w14:schemeClr w14:val="tx1"/>
            </w14:solidFill>
          </w14:textFill>
        </w:rPr>
        <w:t>各专业应以</w:t>
      </w:r>
      <w:r>
        <w:rPr>
          <w:rFonts w:ascii="仿宋" w:hAnsi="仿宋" w:eastAsia="仿宋" w:cs="仿宋"/>
          <w:color w:val="000000" w:themeColor="text1"/>
          <w:sz w:val="28"/>
          <w:szCs w:val="28"/>
          <w14:textFill>
            <w14:solidFill>
              <w14:schemeClr w14:val="tx1"/>
            </w14:solidFill>
          </w14:textFill>
        </w:rPr>
        <w:t>培养学生综合能力为目标，通过“青年红色筑梦之旅”、“互联网+”大学生创新创业大赛、创新创业和思想政治理论课社会实践等活动，推动思想政治教育、专业教育与社会服务紧密结合，培养学生认识社会</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研究社会、理解社会、服务社会的意识和能力，</w:t>
      </w:r>
      <w:r>
        <w:rPr>
          <w:rFonts w:hint="eastAsia" w:ascii="仿宋" w:hAnsi="仿宋" w:eastAsia="仿宋" w:cs="仿宋"/>
          <w:color w:val="000000" w:themeColor="text1"/>
          <w:sz w:val="28"/>
          <w:szCs w:val="28"/>
          <w14:textFill>
            <w14:solidFill>
              <w14:schemeClr w14:val="tx1"/>
            </w14:solidFill>
          </w14:textFill>
        </w:rPr>
        <w:t>在第二课堂</w:t>
      </w:r>
      <w:r>
        <w:rPr>
          <w:rFonts w:hint="eastAsia" w:ascii="仿宋" w:hAnsi="仿宋" w:eastAsia="仿宋" w:cs="仿宋"/>
          <w:b/>
          <w:color w:val="000000" w:themeColor="text1"/>
          <w:sz w:val="28"/>
          <w:szCs w:val="28"/>
          <w14:textFill>
            <w14:solidFill>
              <w14:schemeClr w14:val="tx1"/>
            </w14:solidFill>
          </w14:textFill>
        </w:rPr>
        <w:t>开设《专业社会实践》课程，</w:t>
      </w:r>
      <w:r>
        <w:rPr>
          <w:rFonts w:hint="eastAsia" w:ascii="仿宋" w:hAnsi="仿宋" w:eastAsia="仿宋" w:cs="仿宋"/>
          <w:color w:val="000000" w:themeColor="text1"/>
          <w:sz w:val="28"/>
          <w:szCs w:val="28"/>
          <w14:textFill>
            <w14:solidFill>
              <w14:schemeClr w14:val="tx1"/>
            </w14:solidFill>
          </w14:textFill>
        </w:rPr>
        <w:t>配备</w:t>
      </w:r>
      <w:r>
        <w:rPr>
          <w:rFonts w:ascii="仿宋" w:hAnsi="仿宋" w:eastAsia="仿宋" w:cs="仿宋"/>
          <w:color w:val="000000" w:themeColor="text1"/>
          <w:sz w:val="28"/>
          <w:szCs w:val="28"/>
          <w14:textFill>
            <w14:solidFill>
              <w14:schemeClr w14:val="tx1"/>
            </w14:solidFill>
          </w14:textFill>
        </w:rPr>
        <w:t>理论指导教师，建立稳定的实践基地，</w:t>
      </w:r>
      <w:r>
        <w:rPr>
          <w:rFonts w:hint="eastAsia" w:ascii="仿宋" w:hAnsi="仿宋" w:eastAsia="仿宋" w:cs="仿宋"/>
          <w:color w:val="000000" w:themeColor="text1"/>
          <w:sz w:val="28"/>
          <w:szCs w:val="28"/>
          <w14:textFill>
            <w14:solidFill>
              <w14:schemeClr w14:val="tx1"/>
            </w14:solidFill>
          </w14:textFill>
        </w:rPr>
        <w:t>制定</w:t>
      </w:r>
      <w:r>
        <w:rPr>
          <w:rFonts w:ascii="仿宋" w:hAnsi="仿宋" w:eastAsia="仿宋" w:cs="仿宋"/>
          <w:color w:val="000000" w:themeColor="text1"/>
          <w:sz w:val="28"/>
          <w:szCs w:val="28"/>
          <w14:textFill>
            <w14:solidFill>
              <w14:schemeClr w14:val="tx1"/>
            </w14:solidFill>
          </w14:textFill>
        </w:rPr>
        <w:t>课程大纲，</w:t>
      </w:r>
      <w:r>
        <w:rPr>
          <w:rFonts w:hint="eastAsia" w:ascii="仿宋" w:hAnsi="仿宋" w:eastAsia="仿宋" w:cs="仿宋"/>
          <w:color w:val="000000" w:themeColor="text1"/>
          <w:sz w:val="28"/>
          <w:szCs w:val="28"/>
          <w14:textFill>
            <w14:solidFill>
              <w14:schemeClr w14:val="tx1"/>
            </w14:solidFill>
          </w14:textFill>
        </w:rPr>
        <w:t>注重专业知识与社会劳动融合，让社会实践更具有“专业性”。专业</w:t>
      </w:r>
      <w:r>
        <w:rPr>
          <w:rFonts w:ascii="仿宋" w:hAnsi="仿宋" w:eastAsia="仿宋" w:cs="仿宋"/>
          <w:color w:val="000000" w:themeColor="text1"/>
          <w:sz w:val="28"/>
          <w:szCs w:val="28"/>
          <w14:textFill>
            <w14:solidFill>
              <w14:schemeClr w14:val="tx1"/>
            </w14:solidFill>
          </w14:textFill>
        </w:rPr>
        <w:t>社会实践要保证学生</w:t>
      </w:r>
      <w:r>
        <w:rPr>
          <w:rFonts w:hint="eastAsia" w:ascii="仿宋" w:hAnsi="仿宋" w:eastAsia="仿宋" w:cs="仿宋"/>
          <w:color w:val="000000" w:themeColor="text1"/>
          <w:sz w:val="28"/>
          <w:szCs w:val="28"/>
          <w14:textFill>
            <w14:solidFill>
              <w14:schemeClr w14:val="tx1"/>
            </w14:solidFill>
          </w14:textFill>
        </w:rPr>
        <w:t>70</w:t>
      </w:r>
      <w:r>
        <w:rPr>
          <w:rFonts w:ascii="仿宋" w:hAnsi="仿宋" w:eastAsia="仿宋" w:cs="仿宋"/>
          <w:color w:val="000000" w:themeColor="text1"/>
          <w:sz w:val="28"/>
          <w:szCs w:val="28"/>
          <w14:textFill>
            <w14:solidFill>
              <w14:schemeClr w14:val="tx1"/>
            </w14:solidFill>
          </w14:textFill>
        </w:rPr>
        <w:t>%以上学时深入基层</w:t>
      </w:r>
      <w:r>
        <w:rPr>
          <w:rFonts w:hint="eastAsia" w:ascii="仿宋" w:hAnsi="仿宋" w:eastAsia="仿宋" w:cs="仿宋"/>
          <w:color w:val="000000" w:themeColor="text1"/>
          <w:sz w:val="28"/>
          <w:szCs w:val="28"/>
          <w14:textFill>
            <w14:solidFill>
              <w14:schemeClr w14:val="tx1"/>
            </w14:solidFill>
          </w14:textFill>
        </w:rPr>
        <w:t>。</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（八）通专结合，构建专业特色劳动教育体系</w:t>
      </w:r>
    </w:p>
    <w:p>
      <w:pPr>
        <w:pStyle w:val="83"/>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在设置劳动教育通识课程的基础上，将劳动要素融入专业教育，构建具有本专业特色的劳动教育体系。</w:t>
      </w:r>
      <w:r>
        <w:rPr>
          <w:rFonts w:hint="eastAsia" w:ascii="仿宋" w:hAnsi="仿宋" w:eastAsia="仿宋" w:cs="仿宋"/>
          <w:b/>
          <w:color w:val="000000" w:themeColor="text1"/>
          <w:sz w:val="28"/>
          <w:szCs w:val="28"/>
          <w14:textFill>
            <w14:solidFill>
              <w14:schemeClr w14:val="tx1"/>
            </w14:solidFill>
          </w14:textFill>
        </w:rPr>
        <w:t>各专业至少确定3门课程</w:t>
      </w:r>
      <w:r>
        <w:rPr>
          <w:rFonts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作为</w:t>
      </w:r>
      <w:bookmarkStart w:id="2" w:name="_Hlk60988350"/>
      <w:r>
        <w:rPr>
          <w:rFonts w:ascii="仿宋" w:hAnsi="仿宋" w:eastAsia="仿宋" w:cs="仿宋"/>
          <w:color w:val="000000" w:themeColor="text1"/>
          <w:sz w:val="28"/>
          <w:szCs w:val="28"/>
          <w14:textFill>
            <w14:solidFill>
              <w14:schemeClr w14:val="tx1"/>
            </w14:solidFill>
          </w14:textFill>
        </w:rPr>
        <w:t>“劳动教育依托课程”，明确劳动教育的目标、内容</w:t>
      </w:r>
      <w:r>
        <w:rPr>
          <w:rFonts w:hint="eastAsia" w:ascii="仿宋" w:hAnsi="仿宋" w:eastAsia="仿宋" w:cs="仿宋"/>
          <w:color w:val="000000" w:themeColor="text1"/>
          <w:sz w:val="28"/>
          <w:szCs w:val="28"/>
          <w14:textFill>
            <w14:solidFill>
              <w14:schemeClr w14:val="tx1"/>
            </w14:solidFill>
          </w14:textFill>
        </w:rPr>
        <w:t>、形式和</w:t>
      </w:r>
      <w:r>
        <w:rPr>
          <w:rFonts w:ascii="仿宋" w:hAnsi="仿宋" w:eastAsia="仿宋" w:cs="仿宋"/>
          <w:color w:val="000000" w:themeColor="text1"/>
          <w:sz w:val="28"/>
          <w:szCs w:val="28"/>
          <w14:textFill>
            <w14:solidFill>
              <w14:schemeClr w14:val="tx1"/>
            </w14:solidFill>
          </w14:textFill>
        </w:rPr>
        <w:t>考核要求，</w:t>
      </w:r>
      <w:bookmarkEnd w:id="2"/>
      <w:r>
        <w:rPr>
          <w:rFonts w:hint="eastAsia" w:ascii="仿宋" w:hAnsi="仿宋" w:eastAsia="仿宋" w:cs="仿宋"/>
          <w:color w:val="000000" w:themeColor="text1"/>
          <w:sz w:val="28"/>
          <w:szCs w:val="28"/>
          <w14:textFill>
            <w14:solidFill>
              <w14:schemeClr w14:val="tx1"/>
            </w14:solidFill>
          </w14:textFill>
        </w:rPr>
        <w:t>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加强劳动</w:t>
      </w:r>
      <w:r>
        <w:rPr>
          <w:rFonts w:ascii="仿宋" w:hAnsi="仿宋" w:eastAsia="仿宋" w:cs="仿宋"/>
          <w:color w:val="000000" w:themeColor="text1"/>
          <w:sz w:val="28"/>
          <w:szCs w:val="28"/>
          <w14:textFill>
            <w14:solidFill>
              <w14:schemeClr w14:val="tx1"/>
            </w14:solidFill>
          </w14:textFill>
        </w:rPr>
        <w:t>教育</w:t>
      </w:r>
      <w:r>
        <w:rPr>
          <w:rFonts w:hint="eastAsia" w:ascii="仿宋" w:hAnsi="仿宋" w:eastAsia="仿宋" w:cs="仿宋"/>
          <w:color w:val="000000" w:themeColor="text1"/>
          <w:sz w:val="28"/>
          <w:szCs w:val="28"/>
          <w14:textFill>
            <w14:solidFill>
              <w14:schemeClr w14:val="tx1"/>
            </w14:solidFill>
          </w14:textFill>
        </w:rPr>
        <w:t>过程性评价，明确劳动实践类型、次数、时间等考核要求，如实记录劳动教育活动情况。</w:t>
      </w:r>
    </w:p>
    <w:p>
      <w:pPr>
        <w:pStyle w:val="3"/>
        <w:bidi w:val="0"/>
      </w:pPr>
      <w:r>
        <w:rPr>
          <w:rFonts w:hint="eastAsia"/>
        </w:rPr>
        <w:t>（九）控制学分，为学生自主学习留足空间</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毕业总学分</w:t>
      </w:r>
    </w:p>
    <w:p>
      <w:pPr>
        <w:spacing w:line="360" w:lineRule="auto"/>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四年学制本科专业总学分一般为160±5学分，五年学制专业为200±5学分，文学、理学、管理学、经济学、艺术学、教育学等专业，总学分要求不同，具体见附件2</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。所有专业毕业总学分不得超出《国标》限定范围，也不得超过学校规定学分要求。总学分不包含第二课堂7学分。</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学分比例</w:t>
      </w:r>
    </w:p>
    <w:p>
      <w:pPr>
        <w:spacing w:line="360" w:lineRule="auto"/>
        <w:ind w:firstLine="570"/>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课程设置的学分比例（人文社科类课程学分、数学与自然科学类课程学分、实践教学课程学分、学科基础/专业课程学分）应符合《国标》和专业认证要求。若《国标》和专业认证要求不</w:t>
      </w:r>
      <w:r>
        <w:rPr>
          <w:rFonts w:hint="eastAsia" w:ascii="仿宋" w:hAnsi="仿宋" w:eastAsia="仿宋" w:cs="仿宋"/>
          <w:color w:val="auto"/>
          <w:sz w:val="28"/>
          <w:szCs w:val="28"/>
        </w:rPr>
        <w:t>同，优先保证专业认证要求。若《国标》和专业认证没有明确要求，则人文社科类专业实践教学学分不少于总学分的2</w:t>
      </w:r>
      <w:r>
        <w:rPr>
          <w:rFonts w:ascii="仿宋" w:hAnsi="仿宋" w:eastAsia="仿宋" w:cs="仿宋"/>
          <w:color w:val="auto"/>
          <w:sz w:val="28"/>
          <w:szCs w:val="28"/>
        </w:rPr>
        <w:t>0</w:t>
      </w:r>
      <w:r>
        <w:rPr>
          <w:rFonts w:hint="eastAsia" w:ascii="仿宋" w:hAnsi="仿宋" w:eastAsia="仿宋" w:cs="仿宋"/>
          <w:color w:val="auto"/>
          <w:sz w:val="28"/>
          <w:szCs w:val="28"/>
        </w:rPr>
        <w:t>%，理工管理艺术类专业的实践教学学分不少于总学分的</w:t>
      </w:r>
      <w:r>
        <w:rPr>
          <w:rFonts w:ascii="仿宋" w:hAnsi="仿宋" w:eastAsia="仿宋" w:cs="仿宋"/>
          <w:color w:val="auto"/>
          <w:sz w:val="28"/>
          <w:szCs w:val="28"/>
        </w:rPr>
        <w:t>25</w:t>
      </w:r>
      <w:r>
        <w:rPr>
          <w:rFonts w:hint="eastAsia" w:ascii="仿宋" w:hAnsi="仿宋" w:eastAsia="仿宋" w:cs="仿宋"/>
          <w:color w:val="auto"/>
          <w:sz w:val="28"/>
          <w:szCs w:val="28"/>
        </w:rPr>
        <w:t>%。实践教学学分不包括第二课堂7学分。</w:t>
      </w:r>
    </w:p>
    <w:p>
      <w:pPr>
        <w:pStyle w:val="4"/>
        <w:ind w:firstLine="562"/>
        <w:rPr>
          <w:rFonts w:hint="eastAsia"/>
          <w:color w:val="auto"/>
        </w:rPr>
      </w:pPr>
    </w:p>
    <w:p>
      <w:pPr>
        <w:pStyle w:val="4"/>
        <w:ind w:firstLine="562"/>
        <w:rPr>
          <w:rFonts w:hint="eastAsia"/>
          <w:color w:val="auto"/>
        </w:rPr>
      </w:pPr>
    </w:p>
    <w:p>
      <w:pPr>
        <w:pStyle w:val="4"/>
        <w:ind w:firstLine="562"/>
        <w:rPr>
          <w:rFonts w:hint="eastAsia"/>
          <w:color w:val="auto"/>
        </w:rPr>
      </w:pPr>
    </w:p>
    <w:p>
      <w:pPr>
        <w:pStyle w:val="4"/>
        <w:ind w:left="0" w:leftChars="0" w:firstLine="0" w:firstLineChars="0"/>
        <w:rPr>
          <w:color w:val="auto"/>
        </w:rPr>
      </w:pPr>
      <w:r>
        <w:rPr>
          <w:rFonts w:hint="eastAsia"/>
          <w:color w:val="auto"/>
        </w:rPr>
        <w:t>3</w:t>
      </w:r>
      <w:r>
        <w:rPr>
          <w:color w:val="auto"/>
        </w:rPr>
        <w:t>.</w:t>
      </w:r>
      <w:r>
        <w:rPr>
          <w:rFonts w:hint="eastAsia"/>
          <w:color w:val="auto"/>
        </w:rPr>
        <w:t>学分计算标准</w:t>
      </w:r>
    </w:p>
    <w:p>
      <w:pPr>
        <w:spacing w:line="360" w:lineRule="auto"/>
        <w:ind w:firstLine="570"/>
        <w:rPr>
          <w:rFonts w:hint="eastAsia" w:ascii="仿宋" w:hAnsi="仿宋" w:eastAsia="仿宋" w:cs="仿宋"/>
          <w:color w:val="auto"/>
          <w:sz w:val="28"/>
          <w:szCs w:val="28"/>
        </w:rPr>
      </w:pPr>
    </w:p>
    <w:p>
      <w:pPr>
        <w:spacing w:line="360" w:lineRule="auto"/>
        <w:ind w:firstLine="570"/>
        <w:rPr>
          <w:rFonts w:hint="eastAsia" w:ascii="仿宋" w:hAnsi="仿宋" w:eastAsia="仿宋" w:cs="仿宋"/>
          <w:color w:val="auto"/>
          <w:sz w:val="28"/>
          <w:szCs w:val="28"/>
        </w:rPr>
      </w:pPr>
    </w:p>
    <w:p>
      <w:pPr>
        <w:spacing w:line="360" w:lineRule="auto"/>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理论课程（含课内实践）1学分/16学时，分散</w:t>
      </w:r>
      <w:r>
        <w:rPr>
          <w:rFonts w:ascii="仿宋" w:hAnsi="仿宋" w:eastAsia="仿宋" w:cs="仿宋"/>
          <w:color w:val="auto"/>
          <w:sz w:val="28"/>
          <w:szCs w:val="28"/>
        </w:rPr>
        <w:t>进行的</w:t>
      </w:r>
      <w:r>
        <w:rPr>
          <w:rFonts w:hint="eastAsia" w:ascii="仿宋" w:hAnsi="仿宋" w:eastAsia="仿宋" w:cs="仿宋"/>
          <w:color w:val="auto"/>
          <w:sz w:val="28"/>
          <w:szCs w:val="28"/>
        </w:rPr>
        <w:t>实践教学1学分/32学时,集中进行</w:t>
      </w:r>
      <w:r>
        <w:rPr>
          <w:rFonts w:ascii="仿宋" w:hAnsi="仿宋" w:eastAsia="仿宋" w:cs="仿宋"/>
          <w:color w:val="auto"/>
          <w:sz w:val="28"/>
          <w:szCs w:val="28"/>
        </w:rPr>
        <w:t>的</w:t>
      </w:r>
      <w:r>
        <w:rPr>
          <w:rFonts w:hint="eastAsia" w:ascii="仿宋" w:hAnsi="仿宋" w:eastAsia="仿宋" w:cs="仿宋"/>
          <w:color w:val="auto"/>
          <w:sz w:val="28"/>
          <w:szCs w:val="28"/>
        </w:rPr>
        <w:t>实践教学</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学分/1周。毕业实习、设计（论文）</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学分/2周，一般运行18周。《军事理论》等部分</w:t>
      </w:r>
      <w:r>
        <w:rPr>
          <w:rFonts w:ascii="仿宋" w:hAnsi="仿宋" w:eastAsia="仿宋" w:cs="仿宋"/>
          <w:color w:val="auto"/>
          <w:sz w:val="28"/>
          <w:szCs w:val="28"/>
        </w:rPr>
        <w:t>课程</w:t>
      </w:r>
      <w:r>
        <w:rPr>
          <w:rFonts w:hint="eastAsia" w:ascii="仿宋" w:hAnsi="仿宋" w:eastAsia="仿宋" w:cs="仿宋"/>
          <w:color w:val="auto"/>
          <w:sz w:val="28"/>
          <w:szCs w:val="28"/>
        </w:rPr>
        <w:t>的</w:t>
      </w:r>
      <w:r>
        <w:rPr>
          <w:rFonts w:ascii="仿宋" w:hAnsi="仿宋" w:eastAsia="仿宋" w:cs="仿宋"/>
          <w:color w:val="auto"/>
          <w:sz w:val="28"/>
          <w:szCs w:val="28"/>
        </w:rPr>
        <w:t>学时、</w:t>
      </w:r>
      <w:r>
        <w:rPr>
          <w:rFonts w:hint="eastAsia" w:ascii="仿宋" w:hAnsi="仿宋" w:eastAsia="仿宋" w:cs="仿宋"/>
          <w:color w:val="000000" w:themeColor="text1"/>
          <w:sz w:val="28"/>
          <w:szCs w:val="28"/>
          <w14:textFill>
            <w14:solidFill>
              <w14:schemeClr w14:val="tx1"/>
            </w14:solidFill>
          </w14:textFill>
        </w:rPr>
        <w:t>学分按照</w:t>
      </w:r>
      <w:r>
        <w:rPr>
          <w:rFonts w:ascii="仿宋" w:hAnsi="仿宋" w:eastAsia="仿宋" w:cs="仿宋"/>
          <w:color w:val="000000" w:themeColor="text1"/>
          <w:sz w:val="28"/>
          <w:szCs w:val="28"/>
          <w14:textFill>
            <w14:solidFill>
              <w14:schemeClr w14:val="tx1"/>
            </w14:solidFill>
          </w14:textFill>
        </w:rPr>
        <w:t>教育部</w:t>
      </w:r>
      <w:r>
        <w:rPr>
          <w:rFonts w:hint="eastAsia" w:ascii="仿宋" w:hAnsi="仿宋" w:eastAsia="仿宋" w:cs="仿宋"/>
          <w:color w:val="000000" w:themeColor="text1"/>
          <w:sz w:val="28"/>
          <w:szCs w:val="28"/>
          <w14:textFill>
            <w14:solidFill>
              <w14:schemeClr w14:val="tx1"/>
            </w14:solidFill>
          </w14:textFill>
        </w:rPr>
        <w:t>相关</w:t>
      </w:r>
      <w:r>
        <w:rPr>
          <w:rFonts w:ascii="仿宋" w:hAnsi="仿宋" w:eastAsia="仿宋" w:cs="仿宋"/>
          <w:color w:val="000000" w:themeColor="text1"/>
          <w:sz w:val="28"/>
          <w:szCs w:val="28"/>
          <w14:textFill>
            <w14:solidFill>
              <w14:schemeClr w14:val="tx1"/>
            </w14:solidFill>
          </w14:textFill>
        </w:rPr>
        <w:t>规定</w:t>
      </w:r>
      <w:r>
        <w:rPr>
          <w:rFonts w:hint="eastAsia" w:ascii="仿宋" w:hAnsi="仿宋" w:eastAsia="仿宋" w:cs="仿宋"/>
          <w:color w:val="000000" w:themeColor="text1"/>
          <w:sz w:val="28"/>
          <w:szCs w:val="28"/>
          <w14:textFill>
            <w14:solidFill>
              <w14:schemeClr w14:val="tx1"/>
            </w14:solidFill>
          </w14:textFill>
        </w:rPr>
        <w:t>和</w:t>
      </w:r>
      <w:r>
        <w:rPr>
          <w:rFonts w:ascii="仿宋" w:hAnsi="仿宋" w:eastAsia="仿宋" w:cs="仿宋"/>
          <w:color w:val="000000" w:themeColor="text1"/>
          <w:sz w:val="28"/>
          <w:szCs w:val="28"/>
          <w14:textFill>
            <w14:solidFill>
              <w14:schemeClr w14:val="tx1"/>
            </w14:solidFill>
          </w14:textFill>
        </w:rPr>
        <w:t>学校相关文件</w:t>
      </w:r>
      <w:r>
        <w:rPr>
          <w:rFonts w:hint="eastAsia" w:ascii="仿宋" w:hAnsi="仿宋" w:eastAsia="仿宋" w:cs="仿宋"/>
          <w:color w:val="000000" w:themeColor="text1"/>
          <w:sz w:val="28"/>
          <w:szCs w:val="28"/>
          <w14:textFill>
            <w14:solidFill>
              <w14:schemeClr w14:val="tx1"/>
            </w14:solidFill>
          </w14:textFill>
        </w:rPr>
        <w:t>设置</w:t>
      </w:r>
      <w:r>
        <w:rPr>
          <w:rFonts w:ascii="仿宋" w:hAnsi="仿宋" w:eastAsia="仿宋" w:cs="仿宋"/>
          <w:color w:val="000000" w:themeColor="text1"/>
          <w:sz w:val="28"/>
          <w:szCs w:val="28"/>
          <w14:textFill>
            <w14:solidFill>
              <w14:schemeClr w14:val="tx1"/>
            </w14:solidFill>
          </w14:textFill>
        </w:rPr>
        <w:t>，具体见表</w:t>
      </w:r>
      <w:r>
        <w:rPr>
          <w:rFonts w:hint="eastAsia" w:ascii="仿宋" w:hAnsi="仿宋" w:eastAsia="仿宋" w:cs="仿宋"/>
          <w:color w:val="000000" w:themeColor="text1"/>
          <w:sz w:val="28"/>
          <w:szCs w:val="28"/>
          <w14:textFill>
            <w14:solidFill>
              <w14:schemeClr w14:val="tx1"/>
            </w14:solidFill>
          </w14:textFill>
        </w:rPr>
        <w:t>1。</w:t>
      </w:r>
    </w:p>
    <w:p>
      <w:pPr>
        <w:spacing w:line="360" w:lineRule="auto"/>
        <w:ind w:firstLine="560" w:firstLineChars="200"/>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表1 部分</w:t>
      </w:r>
      <w:r>
        <w:rPr>
          <w:rFonts w:eastAsia="仿宋"/>
          <w:color w:val="000000" w:themeColor="text1"/>
          <w:sz w:val="28"/>
          <w:szCs w:val="28"/>
          <w14:textFill>
            <w14:solidFill>
              <w14:schemeClr w14:val="tx1"/>
            </w14:solidFill>
          </w14:textFill>
        </w:rPr>
        <w:t>课程</w:t>
      </w:r>
      <w:r>
        <w:rPr>
          <w:rFonts w:hint="eastAsia" w:eastAsia="仿宋"/>
          <w:color w:val="000000" w:themeColor="text1"/>
          <w:sz w:val="28"/>
          <w:szCs w:val="28"/>
          <w14:textFill>
            <w14:solidFill>
              <w14:schemeClr w14:val="tx1"/>
            </w14:solidFill>
          </w14:textFill>
        </w:rPr>
        <w:t>学时</w:t>
      </w:r>
      <w:r>
        <w:rPr>
          <w:rFonts w:eastAsia="仿宋"/>
          <w:color w:val="000000" w:themeColor="text1"/>
          <w:sz w:val="28"/>
          <w:szCs w:val="28"/>
          <w14:textFill>
            <w14:solidFill>
              <w14:schemeClr w14:val="tx1"/>
            </w14:solidFill>
          </w14:textFill>
        </w:rPr>
        <w:t>、学分</w:t>
      </w:r>
      <w:r>
        <w:rPr>
          <w:rFonts w:hint="eastAsia" w:eastAsia="仿宋"/>
          <w:color w:val="000000" w:themeColor="text1"/>
          <w:sz w:val="28"/>
          <w:szCs w:val="28"/>
          <w14:textFill>
            <w14:solidFill>
              <w14:schemeClr w14:val="tx1"/>
            </w14:solidFill>
          </w14:textFill>
        </w:rPr>
        <w:t>设置</w:t>
      </w:r>
    </w:p>
    <w:tbl>
      <w:tblPr>
        <w:tblStyle w:val="11"/>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263"/>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课程名称</w:t>
            </w:r>
          </w:p>
        </w:tc>
        <w:tc>
          <w:tcPr>
            <w:tcW w:w="2263" w:type="dxa"/>
            <w:shd w:val="clear" w:color="auto" w:fill="auto"/>
          </w:tcPr>
          <w:p>
            <w:pPr>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学分</w:t>
            </w:r>
          </w:p>
        </w:tc>
        <w:tc>
          <w:tcPr>
            <w:tcW w:w="2210" w:type="dxa"/>
            <w:shd w:val="clear" w:color="auto" w:fill="auto"/>
          </w:tcPr>
          <w:p>
            <w:pPr>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体育</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军事理论</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军训</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创新创业教育</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企业（军工）管理</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工程经济</w:t>
            </w:r>
            <w:r>
              <w:rPr>
                <w:rFonts w:hint="eastAsia" w:eastAsia="仿宋"/>
                <w:color w:val="000000" w:themeColor="text1"/>
                <w:sz w:val="24"/>
                <w14:textFill>
                  <w14:solidFill>
                    <w14:schemeClr w14:val="tx1"/>
                  </w14:solidFill>
                </w14:textFill>
              </w:rPr>
              <w:t>与</w:t>
            </w:r>
            <w:r>
              <w:rPr>
                <w:rFonts w:eastAsia="仿宋"/>
                <w:color w:val="000000" w:themeColor="text1"/>
                <w:sz w:val="24"/>
                <w14:textFill>
                  <w14:solidFill>
                    <w14:schemeClr w14:val="tx1"/>
                  </w14:solidFill>
                </w14:textFill>
              </w:rPr>
              <w:t>项目管理</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0.5</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工程伦理与安全</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0.25</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大学生职业</w:t>
            </w:r>
            <w:r>
              <w:rPr>
                <w:rFonts w:hint="eastAsia" w:eastAsia="仿宋"/>
                <w:color w:val="000000" w:themeColor="text1"/>
                <w:sz w:val="24"/>
                <w14:textFill>
                  <w14:solidFill>
                    <w14:schemeClr w14:val="tx1"/>
                  </w14:solidFill>
                </w14:textFill>
              </w:rPr>
              <w:t>生涯规划</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0.5</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大学生就业指导</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0</w:t>
            </w:r>
            <w:r>
              <w:rPr>
                <w:rFonts w:eastAsia="仿宋"/>
                <w:color w:val="000000" w:themeColor="text1"/>
                <w:sz w:val="24"/>
                <w14:textFill>
                  <w14:solidFill>
                    <w14:schemeClr w14:val="tx1"/>
                  </w14:solidFill>
                </w14:textFill>
              </w:rPr>
              <w:t>.5</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1</w:t>
            </w:r>
            <w:r>
              <w:rPr>
                <w:rFonts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入学教育</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毕业教育</w:t>
            </w:r>
          </w:p>
        </w:tc>
        <w:tc>
          <w:tcPr>
            <w:tcW w:w="2263"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w:t>
            </w:r>
          </w:p>
        </w:tc>
        <w:tc>
          <w:tcPr>
            <w:tcW w:w="2210" w:type="dxa"/>
            <w:shd w:val="clear" w:color="auto" w:fill="auto"/>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vAlign w:val="center"/>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大学计算机基础</w:t>
            </w:r>
          </w:p>
        </w:tc>
        <w:tc>
          <w:tcPr>
            <w:tcW w:w="2263" w:type="dxa"/>
            <w:shd w:val="clear" w:color="auto" w:fill="auto"/>
            <w:vAlign w:val="center"/>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0</w:t>
            </w:r>
          </w:p>
          <w:p>
            <w:pPr>
              <w:spacing w:line="360" w:lineRule="auto"/>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（通过后在第二课堂中计1学分）</w:t>
            </w:r>
          </w:p>
        </w:tc>
        <w:tc>
          <w:tcPr>
            <w:tcW w:w="2210" w:type="dxa"/>
            <w:shd w:val="clear" w:color="auto" w:fill="auto"/>
            <w:vAlign w:val="center"/>
          </w:tcPr>
          <w:p>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32</w:t>
            </w:r>
          </w:p>
        </w:tc>
      </w:tr>
    </w:tbl>
    <w:p>
      <w:pPr>
        <w:spacing w:line="360" w:lineRule="auto"/>
        <w:rPr>
          <w:rFonts w:eastAsia="仿宋"/>
          <w:b/>
          <w:color w:val="000000" w:themeColor="text1"/>
          <w:sz w:val="28"/>
          <w:szCs w:val="28"/>
          <w14:textFill>
            <w14:solidFill>
              <w14:schemeClr w14:val="tx1"/>
            </w14:solidFill>
          </w14:textFill>
        </w:rPr>
      </w:pP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周学时</w:t>
      </w:r>
      <w:bookmarkStart w:id="4" w:name="_GoBack"/>
      <w:bookmarkEnd w:id="4"/>
    </w:p>
    <w:p>
      <w:pPr>
        <w:spacing w:line="360" w:lineRule="auto"/>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合理安排每个学期的教学实践，保证周学时合理分布，原则上不超过2</w:t>
      </w: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学时/周。第八学期（五年制第十学期）不得安排除毕业设计（论文）、毕业实习外的课程。</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（十）修订大纲，将毕业要求落实到课程</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面修订课程教学大纲。各专业应按照《西安工业大学课程教学大纲管理办法》，科学分解毕业要求，明确课程对毕业要求指标点的支撑。课程团队依据课程支撑的毕业要求指标点确定课程目标，更新教学内容，创新教学设计，改革考核方法，提高课程的高阶性、创新性与挑战度，保证</w:t>
      </w:r>
      <w:r>
        <w:rPr>
          <w:rFonts w:hint="eastAsia" w:ascii="仿宋" w:hAnsi="仿宋" w:eastAsia="仿宋" w:cs="仿宋"/>
          <w:color w:val="000000" w:themeColor="text1"/>
          <w:spacing w:val="-8"/>
          <w:kern w:val="0"/>
          <w:sz w:val="28"/>
          <w:szCs w:val="32"/>
          <w14:textFill>
            <w14:solidFill>
              <w14:schemeClr w14:val="tx1"/>
            </w14:solidFill>
          </w14:textFill>
        </w:rPr>
        <w:t>考核内容与方式能有效反映课程目标的达成，</w:t>
      </w:r>
      <w:r>
        <w:rPr>
          <w:rFonts w:hint="eastAsia" w:ascii="仿宋" w:hAnsi="仿宋" w:eastAsia="仿宋" w:cs="仿宋"/>
          <w:color w:val="000000" w:themeColor="text1"/>
          <w:sz w:val="28"/>
          <w:szCs w:val="28"/>
          <w14:textFill>
            <w14:solidFill>
              <w14:schemeClr w14:val="tx1"/>
            </w14:solidFill>
          </w14:textFill>
        </w:rPr>
        <w:t>课程能有效</w:t>
      </w:r>
      <w:r>
        <w:rPr>
          <w:rFonts w:hint="eastAsia" w:ascii="仿宋" w:hAnsi="仿宋" w:eastAsia="仿宋" w:cs="仿宋"/>
          <w:color w:val="000000" w:themeColor="text1"/>
          <w:spacing w:val="-8"/>
          <w:kern w:val="0"/>
          <w:sz w:val="28"/>
          <w:szCs w:val="32"/>
          <w14:textFill>
            <w14:solidFill>
              <w14:schemeClr w14:val="tx1"/>
            </w14:solidFill>
          </w14:textFill>
        </w:rPr>
        <w:t>支撑毕业要求的达成</w:t>
      </w:r>
      <w:r>
        <w:rPr>
          <w:rFonts w:hint="eastAsia" w:ascii="仿宋" w:hAnsi="仿宋" w:eastAsia="仿宋" w:cs="仿宋"/>
          <w:color w:val="000000" w:themeColor="text1"/>
          <w:sz w:val="28"/>
          <w:szCs w:val="28"/>
          <w14:textFill>
            <w14:solidFill>
              <w14:schemeClr w14:val="tx1"/>
            </w14:solidFill>
          </w14:textFill>
        </w:rPr>
        <w:t>。各门课程应结合自身特点，挖掘并融入“课程思政”，明确课程的育人要素和责任。“劳动教育依托课程”应明确劳动教育的目标、内容、形式和考核要求。</w:t>
      </w:r>
    </w:p>
    <w:p>
      <w:pPr>
        <w:pStyle w:val="83"/>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进入培养方案中的课程均应有课程教学大纲。课程名称相同，课号</w:t>
      </w:r>
      <w:r>
        <w:rPr>
          <w:rFonts w:ascii="仿宋" w:hAnsi="仿宋" w:eastAsia="仿宋" w:cs="仿宋"/>
          <w:color w:val="000000" w:themeColor="text1"/>
          <w:sz w:val="28"/>
          <w:szCs w:val="28"/>
          <w14:textFill>
            <w14:solidFill>
              <w14:schemeClr w14:val="tx1"/>
            </w14:solidFill>
          </w14:textFill>
        </w:rPr>
        <w:t>不同</w:t>
      </w:r>
      <w:r>
        <w:rPr>
          <w:rFonts w:hint="eastAsia" w:ascii="仿宋" w:hAnsi="仿宋" w:eastAsia="仿宋" w:cs="仿宋"/>
          <w:color w:val="000000" w:themeColor="text1"/>
          <w:sz w:val="28"/>
          <w:szCs w:val="28"/>
          <w14:textFill>
            <w14:solidFill>
              <w14:schemeClr w14:val="tx1"/>
            </w14:solidFill>
          </w14:textFill>
        </w:rPr>
        <w:t>的</w:t>
      </w:r>
      <w:r>
        <w:rPr>
          <w:rFonts w:ascii="仿宋" w:hAnsi="仿宋" w:eastAsia="仿宋" w:cs="仿宋"/>
          <w:color w:val="000000" w:themeColor="text1"/>
          <w:sz w:val="28"/>
          <w:szCs w:val="28"/>
          <w14:textFill>
            <w14:solidFill>
              <w14:schemeClr w14:val="tx1"/>
            </w14:solidFill>
          </w14:textFill>
        </w:rPr>
        <w:t>课程</w:t>
      </w:r>
      <w:r>
        <w:rPr>
          <w:rFonts w:hint="eastAsia" w:ascii="仿宋" w:hAnsi="仿宋" w:eastAsia="仿宋" w:cs="仿宋"/>
          <w:color w:val="000000" w:themeColor="text1"/>
          <w:sz w:val="28"/>
          <w:szCs w:val="28"/>
          <w14:textFill>
            <w14:solidFill>
              <w14:schemeClr w14:val="tx1"/>
            </w14:solidFill>
          </w14:textFill>
        </w:rPr>
        <w:t>，教学大纲应分别编写。教育部有统一教学大纲的课程，按照学校统一大纲模板完善课程大纲。其它课程在制定教学大纲时应注意参考教育部各专业教学指导委员会的有关指导意见。凡“马工程”重点教材相关课程，必须把“马工程”教材作为该课程统一使用的教材，必须依托“马工程”教材编写教学大纲与教案。课程大纲模板见附件</w:t>
      </w:r>
      <w:r>
        <w:rPr>
          <w:rFonts w:ascii="仿宋" w:hAnsi="仿宋" w:eastAsia="仿宋" w:cs="仿宋"/>
          <w:color w:val="000000" w:themeColor="text1"/>
          <w:sz w:val="28"/>
          <w:szCs w:val="28"/>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w:t>
      </w:r>
    </w:p>
    <w:p>
      <w:pPr>
        <w:pStyle w:val="2"/>
        <w:ind w:firstLine="643"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四、培养方案总体框架</w:t>
      </w:r>
    </w:p>
    <w:p>
      <w:pPr>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培养方案包括1</w:t>
      </w:r>
      <w:r>
        <w:rPr>
          <w:rFonts w:ascii="仿宋" w:hAnsi="仿宋" w:eastAsia="仿宋" w:cs="仿宋"/>
          <w:color w:val="000000" w:themeColor="text1"/>
          <w:kern w:val="0"/>
          <w:sz w:val="28"/>
          <w:szCs w:val="28"/>
          <w:lang w:bidi="ar"/>
          <w14:textFill>
            <w14:solidFill>
              <w14:schemeClr w14:val="tx1"/>
            </w14:solidFill>
          </w14:textFill>
        </w:rPr>
        <w:t>2</w:t>
      </w:r>
      <w:r>
        <w:rPr>
          <w:rFonts w:hint="eastAsia" w:ascii="仿宋" w:hAnsi="仿宋" w:eastAsia="仿宋" w:cs="仿宋"/>
          <w:color w:val="000000" w:themeColor="text1"/>
          <w:kern w:val="0"/>
          <w:sz w:val="28"/>
          <w:szCs w:val="28"/>
          <w:lang w:bidi="ar"/>
          <w14:textFill>
            <w14:solidFill>
              <w14:schemeClr w14:val="tx1"/>
            </w14:solidFill>
          </w14:textFill>
        </w:rPr>
        <w:t>个项目，各专业按“2021版</w:t>
      </w:r>
      <w:r>
        <w:rPr>
          <w:rFonts w:ascii="仿宋" w:hAnsi="仿宋" w:eastAsia="仿宋" w:cs="仿宋"/>
          <w:color w:val="000000" w:themeColor="text1"/>
          <w:kern w:val="0"/>
          <w:sz w:val="28"/>
          <w:szCs w:val="28"/>
          <w:lang w:bidi="ar"/>
          <w14:textFill>
            <w14:solidFill>
              <w14:schemeClr w14:val="tx1"/>
            </w14:solidFill>
          </w14:textFill>
        </w:rPr>
        <w:t>本科人才</w:t>
      </w:r>
      <w:r>
        <w:rPr>
          <w:rFonts w:hint="eastAsia" w:ascii="仿宋" w:hAnsi="仿宋" w:eastAsia="仿宋" w:cs="仿宋"/>
          <w:color w:val="000000" w:themeColor="text1"/>
          <w:kern w:val="0"/>
          <w:sz w:val="28"/>
          <w:szCs w:val="28"/>
          <w:lang w:bidi="ar"/>
          <w14:textFill>
            <w14:solidFill>
              <w14:schemeClr w14:val="tx1"/>
            </w14:solidFill>
          </w14:textFill>
        </w:rPr>
        <w:t>培养方案</w:t>
      </w:r>
      <w:r>
        <w:rPr>
          <w:rFonts w:ascii="仿宋" w:hAnsi="仿宋" w:eastAsia="仿宋" w:cs="仿宋"/>
          <w:color w:val="000000" w:themeColor="text1"/>
          <w:kern w:val="0"/>
          <w:sz w:val="28"/>
          <w:szCs w:val="28"/>
          <w:lang w:bidi="ar"/>
          <w14:textFill>
            <w14:solidFill>
              <w14:schemeClr w14:val="tx1"/>
            </w14:solidFill>
          </w14:textFill>
        </w:rPr>
        <w:t>模板</w:t>
      </w:r>
      <w:r>
        <w:rPr>
          <w:rFonts w:hint="eastAsia" w:ascii="仿宋" w:hAnsi="仿宋" w:eastAsia="仿宋" w:cs="仿宋"/>
          <w:color w:val="000000" w:themeColor="text1"/>
          <w:kern w:val="0"/>
          <w:sz w:val="28"/>
          <w:szCs w:val="28"/>
          <w:lang w:bidi="ar"/>
          <w14:textFill>
            <w14:solidFill>
              <w14:schemeClr w14:val="tx1"/>
            </w14:solidFill>
          </w14:textFill>
        </w:rPr>
        <w:t>”（附件</w:t>
      </w:r>
      <w:r>
        <w:rPr>
          <w:rFonts w:ascii="仿宋" w:hAnsi="仿宋" w:eastAsia="仿宋" w:cs="仿宋"/>
          <w:color w:val="000000" w:themeColor="text1"/>
          <w:kern w:val="0"/>
          <w:sz w:val="28"/>
          <w:szCs w:val="28"/>
          <w:lang w:bidi="ar"/>
          <w14:textFill>
            <w14:solidFill>
              <w14:schemeClr w14:val="tx1"/>
            </w14:solidFill>
          </w14:textFill>
        </w:rPr>
        <w:t>2-7</w:t>
      </w:r>
      <w:r>
        <w:rPr>
          <w:rFonts w:hint="eastAsia" w:ascii="仿宋" w:hAnsi="仿宋" w:eastAsia="仿宋" w:cs="仿宋"/>
          <w:color w:val="000000" w:themeColor="text1"/>
          <w:kern w:val="0"/>
          <w:sz w:val="28"/>
          <w:szCs w:val="28"/>
          <w:lang w:bidi="ar"/>
          <w14:textFill>
            <w14:solidFill>
              <w14:schemeClr w14:val="tx1"/>
            </w14:solidFill>
          </w14:textFill>
        </w:rPr>
        <w:t>）逐项填写。</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（一）专业基本信息</w:t>
      </w:r>
    </w:p>
    <w:p>
      <w:pPr>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包括学科门类、专业类、专业代码、学位类型、学制、主干学科、相关学科、专业概况。</w:t>
      </w:r>
      <w:r>
        <w:rPr>
          <w:rFonts w:hint="eastAsia" w:ascii="仿宋" w:hAnsi="仿宋" w:eastAsia="仿宋" w:cs="仿宋"/>
          <w:color w:val="000000" w:themeColor="text1"/>
          <w:kern w:val="0"/>
          <w:sz w:val="31"/>
          <w:szCs w:val="31"/>
          <w:lang w:bidi="ar"/>
          <w14:textFill>
            <w14:solidFill>
              <w14:schemeClr w14:val="tx1"/>
            </w14:solidFill>
          </w14:textFill>
        </w:rPr>
        <w:t xml:space="preserve"> </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（二）培养目标 </w:t>
      </w:r>
    </w:p>
    <w:p>
      <w:pPr>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培养目标指学生毕业后</w:t>
      </w:r>
      <w:r>
        <w:rPr>
          <w:rFonts w:ascii="仿宋" w:hAnsi="仿宋" w:eastAsia="仿宋" w:cs="仿宋"/>
          <w:color w:val="000000" w:themeColor="text1"/>
          <w:kern w:val="0"/>
          <w:sz w:val="28"/>
          <w:szCs w:val="28"/>
          <w:lang w:bidi="ar"/>
          <w14:textFill>
            <w14:solidFill>
              <w14:schemeClr w14:val="tx1"/>
            </w14:solidFill>
          </w14:textFill>
        </w:rPr>
        <w:t>5年左右能够达到的职业和专业成就</w:t>
      </w:r>
      <w:r>
        <w:rPr>
          <w:rFonts w:hint="eastAsia" w:ascii="仿宋" w:hAnsi="仿宋" w:eastAsia="仿宋" w:cs="仿宋"/>
          <w:color w:val="000000" w:themeColor="text1"/>
          <w:kern w:val="0"/>
          <w:sz w:val="28"/>
          <w:szCs w:val="28"/>
          <w:lang w:bidi="ar"/>
          <w14:textFill>
            <w14:solidFill>
              <w14:schemeClr w14:val="tx1"/>
            </w14:solidFill>
          </w14:textFill>
        </w:rPr>
        <w:t>的总体描述，应体现德智体美劳全面发展的培养总目标</w:t>
      </w:r>
      <w:r>
        <w:rPr>
          <w:rFonts w:ascii="仿宋" w:hAnsi="仿宋" w:eastAsia="仿宋" w:cs="仿宋"/>
          <w:color w:val="000000" w:themeColor="text1"/>
          <w:kern w:val="0"/>
          <w:sz w:val="28"/>
          <w:szCs w:val="28"/>
          <w:lang w:bidi="ar"/>
          <w14:textFill>
            <w14:solidFill>
              <w14:schemeClr w14:val="tx1"/>
            </w14:solidFill>
          </w14:textFill>
        </w:rPr>
        <w:t>。</w:t>
      </w:r>
      <w:r>
        <w:rPr>
          <w:rFonts w:hint="eastAsia" w:ascii="仿宋" w:hAnsi="仿宋" w:eastAsia="仿宋" w:cs="仿宋"/>
          <w:color w:val="000000" w:themeColor="text1"/>
          <w:kern w:val="0"/>
          <w:sz w:val="28"/>
          <w:szCs w:val="28"/>
          <w:lang w:bidi="ar"/>
          <w14:textFill>
            <w14:solidFill>
              <w14:schemeClr w14:val="tx1"/>
            </w14:solidFill>
          </w14:textFill>
        </w:rPr>
        <w:t>专业制定培养目标时必须充分考虑内外部需求和条件，包括学校定位、专业具备的资源条件、社会需求和利益相关者的期望等。</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（三）毕业要求 </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毕业要求指学生通过本科阶段的学习能够获得的能力和素养，且该能力和素养可以通过学生的学习成果和表现判定其达成情况。工科专业按照《工程教育认证通用标准》、非工科专业按照《人文类、社科类、理学类、农林专业认证标准（征求意见版）》准确描述本专业的毕业要求，并通过指标点分解明晰毕业要求的内涵。专业毕业要求对学生相关能力和素养的描述，应能体现对专业培养目标的支撑。</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（四）毕业条件及授予学士学位条件</w:t>
      </w:r>
    </w:p>
    <w:p>
      <w:pPr>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说明毕业总学分，必修学分，选修学分及其它毕业条件和学位授予条件。</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（五）课程体系</w:t>
      </w:r>
    </w:p>
    <w:p>
      <w:pPr>
        <w:ind w:firstLine="57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课程体系包括通识教育课程、学科基础课程、专业教育课程、实践教育、个性化发展课程五种类型。</w:t>
      </w:r>
    </w:p>
    <w:p>
      <w:pPr>
        <w:pStyle w:val="4"/>
        <w:spacing w:line="416" w:lineRule="auto"/>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通识教育课程</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该模块课程旨在培养学生的新时代中国特色社会主义核心价值观，弘扬中华优秀传统文化，健全学生人格，培养学生的科学精神和人文素养，掌握公共性的基础知识和工具知识，促进学生综合素质全面提高，使学生具有自主学习和可持续发展的能力。主要包括通识必修课程、通识选修课程两类课程。</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学科基础课程</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w:t>
      </w:r>
      <w:r>
        <w:rPr>
          <w:rFonts w:ascii="仿宋" w:hAnsi="仿宋" w:eastAsia="仿宋" w:cs="仿宋"/>
          <w:color w:val="000000" w:themeColor="text1"/>
          <w:sz w:val="28"/>
          <w:szCs w:val="28"/>
          <w14:textFill>
            <w14:solidFill>
              <w14:schemeClr w14:val="tx1"/>
            </w14:solidFill>
          </w14:textFill>
        </w:rPr>
        <w:t>某学科各专业学生必须掌握的学科基础课程。</w:t>
      </w:r>
      <w:bookmarkStart w:id="3" w:name="_Hlk60929026"/>
      <w:r>
        <w:rPr>
          <w:rFonts w:hint="eastAsia" w:ascii="仿宋" w:hAnsi="仿宋" w:eastAsia="仿宋" w:cs="仿宋"/>
          <w:color w:val="000000" w:themeColor="text1"/>
          <w:sz w:val="28"/>
          <w:szCs w:val="28"/>
          <w14:textFill>
            <w14:solidFill>
              <w14:schemeClr w14:val="tx1"/>
            </w14:solidFill>
          </w14:textFill>
        </w:rPr>
        <w:t>按专业</w:t>
      </w:r>
      <w:r>
        <w:rPr>
          <w:rFonts w:ascii="仿宋" w:hAnsi="仿宋" w:eastAsia="仿宋" w:cs="仿宋"/>
          <w:color w:val="000000" w:themeColor="text1"/>
          <w:sz w:val="28"/>
          <w:szCs w:val="28"/>
          <w14:textFill>
            <w14:solidFill>
              <w14:schemeClr w14:val="tx1"/>
            </w14:solidFill>
          </w14:textFill>
        </w:rPr>
        <w:t>大类或一级学科设置。</w:t>
      </w:r>
      <w:r>
        <w:rPr>
          <w:rFonts w:hint="eastAsia" w:ascii="仿宋" w:hAnsi="仿宋" w:eastAsia="仿宋" w:cs="仿宋"/>
          <w:color w:val="000000" w:themeColor="text1"/>
          <w:sz w:val="28"/>
          <w:szCs w:val="28"/>
          <w14:textFill>
            <w14:solidFill>
              <w14:schemeClr w14:val="tx1"/>
            </w14:solidFill>
          </w14:textFill>
        </w:rPr>
        <w:t>该类课程</w:t>
      </w:r>
      <w:r>
        <w:rPr>
          <w:rFonts w:ascii="仿宋" w:hAnsi="仿宋" w:eastAsia="仿宋" w:cs="仿宋"/>
          <w:color w:val="000000" w:themeColor="text1"/>
          <w:sz w:val="28"/>
          <w:szCs w:val="28"/>
          <w14:textFill>
            <w14:solidFill>
              <w14:schemeClr w14:val="tx1"/>
            </w14:solidFill>
          </w14:textFill>
        </w:rPr>
        <w:t>应该是国内外一流大学普遍认可的该学科人才培养所</w:t>
      </w:r>
      <w:r>
        <w:rPr>
          <w:rFonts w:hint="eastAsia" w:ascii="仿宋" w:hAnsi="仿宋" w:eastAsia="仿宋" w:cs="仿宋"/>
          <w:color w:val="000000" w:themeColor="text1"/>
          <w:sz w:val="28"/>
          <w:szCs w:val="28"/>
          <w14:textFill>
            <w14:solidFill>
              <w14:schemeClr w14:val="tx1"/>
            </w14:solidFill>
          </w14:textFill>
        </w:rPr>
        <w:t>要求</w:t>
      </w:r>
      <w:r>
        <w:rPr>
          <w:rFonts w:ascii="仿宋" w:hAnsi="仿宋" w:eastAsia="仿宋" w:cs="仿宋"/>
          <w:color w:val="000000" w:themeColor="text1"/>
          <w:sz w:val="28"/>
          <w:szCs w:val="28"/>
          <w14:textFill>
            <w14:solidFill>
              <w14:schemeClr w14:val="tx1"/>
            </w14:solidFill>
          </w14:textFill>
        </w:rPr>
        <w:t>的基础课程，要求本学科所有学生</w:t>
      </w:r>
      <w:r>
        <w:rPr>
          <w:rFonts w:hint="eastAsia" w:ascii="仿宋" w:hAnsi="仿宋" w:eastAsia="仿宋" w:cs="仿宋"/>
          <w:color w:val="000000" w:themeColor="text1"/>
          <w:sz w:val="28"/>
          <w:szCs w:val="28"/>
          <w14:textFill>
            <w14:solidFill>
              <w14:schemeClr w14:val="tx1"/>
            </w14:solidFill>
          </w14:textFill>
        </w:rPr>
        <w:t>通修</w:t>
      </w:r>
      <w:r>
        <w:rPr>
          <w:rFonts w:ascii="仿宋" w:hAnsi="仿宋" w:eastAsia="仿宋" w:cs="仿宋"/>
          <w:color w:val="000000" w:themeColor="text1"/>
          <w:sz w:val="28"/>
          <w:szCs w:val="28"/>
          <w14:textFill>
            <w14:solidFill>
              <w14:schemeClr w14:val="tx1"/>
            </w14:solidFill>
          </w14:textFill>
        </w:rPr>
        <w:t>。</w:t>
      </w:r>
      <w:bookmarkEnd w:id="3"/>
      <w:r>
        <w:rPr>
          <w:rFonts w:hint="eastAsia" w:ascii="仿宋" w:hAnsi="仿宋" w:eastAsia="仿宋" w:cs="仿宋"/>
          <w:color w:val="000000" w:themeColor="text1"/>
          <w:sz w:val="28"/>
          <w:szCs w:val="28"/>
          <w14:textFill>
            <w14:solidFill>
              <w14:schemeClr w14:val="tx1"/>
            </w14:solidFill>
          </w14:textFill>
        </w:rPr>
        <w:t>主要包括数学、物理、化学</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电路、图学等课程。</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专业教育课程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w:t>
      </w:r>
      <w:r>
        <w:rPr>
          <w:rFonts w:ascii="仿宋" w:hAnsi="仿宋" w:eastAsia="仿宋" w:cs="仿宋"/>
          <w:color w:val="000000" w:themeColor="text1"/>
          <w:sz w:val="28"/>
          <w:szCs w:val="28"/>
          <w14:textFill>
            <w14:solidFill>
              <w14:schemeClr w14:val="tx1"/>
            </w14:solidFill>
          </w14:textFill>
        </w:rPr>
        <w:t>体现专业特色，形成学生专业特质的专业核心课</w:t>
      </w:r>
      <w:r>
        <w:rPr>
          <w:rFonts w:hint="eastAsia" w:ascii="仿宋" w:hAnsi="仿宋" w:eastAsia="仿宋" w:cs="仿宋"/>
          <w:color w:val="000000" w:themeColor="text1"/>
          <w:sz w:val="28"/>
          <w:szCs w:val="28"/>
          <w14:textFill>
            <w14:solidFill>
              <w14:schemeClr w14:val="tx1"/>
            </w14:solidFill>
          </w14:textFill>
        </w:rPr>
        <w:t>程</w:t>
      </w:r>
      <w:r>
        <w:rPr>
          <w:rFonts w:ascii="仿宋" w:hAnsi="仿宋" w:eastAsia="仿宋" w:cs="仿宋"/>
          <w:color w:val="000000" w:themeColor="text1"/>
          <w:sz w:val="28"/>
          <w:szCs w:val="28"/>
          <w14:textFill>
            <w14:solidFill>
              <w14:schemeClr w14:val="tx1"/>
            </w14:solidFill>
          </w14:textFill>
        </w:rPr>
        <w:t>和特色课程</w:t>
      </w:r>
      <w:r>
        <w:rPr>
          <w:rFonts w:hint="eastAsia" w:ascii="仿宋" w:hAnsi="仿宋" w:eastAsia="仿宋" w:cs="仿宋"/>
          <w:color w:val="000000" w:themeColor="text1"/>
          <w:sz w:val="28"/>
          <w:szCs w:val="28"/>
          <w14:textFill>
            <w14:solidFill>
              <w14:schemeClr w14:val="tx1"/>
            </w14:solidFill>
          </w14:textFill>
        </w:rPr>
        <w:t>，由各专业根据人才培养目标设置。</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实践教育</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w:t>
      </w:r>
      <w:r>
        <w:rPr>
          <w:rFonts w:ascii="仿宋" w:hAnsi="仿宋" w:eastAsia="仿宋" w:cs="仿宋"/>
          <w:color w:val="000000" w:themeColor="text1"/>
          <w:sz w:val="28"/>
          <w:szCs w:val="28"/>
          <w14:textFill>
            <w14:solidFill>
              <w14:schemeClr w14:val="tx1"/>
            </w14:solidFill>
          </w14:textFill>
        </w:rPr>
        <w:t>与强化专业能力相关的实践课程与实习实训，以及与提升综合素质相关的军事训练课程与社会实践活动，包括</w:t>
      </w:r>
      <w:r>
        <w:rPr>
          <w:rFonts w:hint="eastAsia" w:ascii="仿宋" w:hAnsi="仿宋" w:eastAsia="仿宋" w:cs="仿宋"/>
          <w:color w:val="000000" w:themeColor="text1"/>
          <w:sz w:val="28"/>
          <w:szCs w:val="28"/>
          <w14:textFill>
            <w14:solidFill>
              <w14:schemeClr w14:val="tx1"/>
            </w14:solidFill>
          </w14:textFill>
        </w:rPr>
        <w:t>课程</w:t>
      </w:r>
      <w:r>
        <w:rPr>
          <w:rFonts w:ascii="仿宋" w:hAnsi="仿宋" w:eastAsia="仿宋" w:cs="仿宋"/>
          <w:color w:val="000000" w:themeColor="text1"/>
          <w:sz w:val="28"/>
          <w:szCs w:val="28"/>
          <w14:textFill>
            <w14:solidFill>
              <w14:schemeClr w14:val="tx1"/>
            </w14:solidFill>
          </w14:textFill>
        </w:rPr>
        <w:t>实验、实习实训、社会实践、课程设计、军事训练、毕业设计等。</w:t>
      </w:r>
    </w:p>
    <w:p>
      <w:pPr>
        <w:pStyle w:val="4"/>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个性化发展课程</w:t>
      </w:r>
    </w:p>
    <w:p>
      <w:p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指学生根据自己的兴趣爱好、职业发展规划和学院对人才培养的修读建议自主选择修读的课程，包括专业方向课、专业选修课、自选课程（专业建议</w:t>
      </w:r>
      <w:r>
        <w:rPr>
          <w:rFonts w:ascii="仿宋" w:hAnsi="仿宋" w:eastAsia="仿宋" w:cs="仿宋"/>
          <w:color w:val="000000" w:themeColor="text1"/>
          <w:sz w:val="28"/>
          <w:szCs w:val="28"/>
          <w14:textFill>
            <w14:solidFill>
              <w14:schemeClr w14:val="tx1"/>
            </w14:solidFill>
          </w14:textFill>
        </w:rPr>
        <w:t>修读的</w:t>
      </w:r>
      <w:r>
        <w:rPr>
          <w:rFonts w:hint="eastAsia" w:ascii="仿宋" w:hAnsi="仿宋" w:eastAsia="仿宋" w:cs="仿宋"/>
          <w:color w:val="000000" w:themeColor="text1"/>
          <w:sz w:val="28"/>
          <w:szCs w:val="28"/>
          <w14:textFill>
            <w14:solidFill>
              <w14:schemeClr w14:val="tx1"/>
            </w14:solidFill>
          </w14:textFill>
        </w:rPr>
        <w:t>其它</w:t>
      </w:r>
      <w:r>
        <w:rPr>
          <w:rFonts w:ascii="仿宋" w:hAnsi="仿宋" w:eastAsia="仿宋" w:cs="仿宋"/>
          <w:color w:val="000000" w:themeColor="text1"/>
          <w:sz w:val="28"/>
          <w:szCs w:val="28"/>
          <w14:textFill>
            <w14:solidFill>
              <w14:schemeClr w14:val="tx1"/>
            </w14:solidFill>
          </w14:textFill>
        </w:rPr>
        <w:t>专业</w:t>
      </w:r>
      <w:r>
        <w:rPr>
          <w:rFonts w:hint="eastAsia" w:ascii="仿宋" w:hAnsi="仿宋" w:eastAsia="仿宋" w:cs="仿宋"/>
          <w:color w:val="000000" w:themeColor="text1"/>
          <w:sz w:val="28"/>
          <w:szCs w:val="28"/>
          <w14:textFill>
            <w14:solidFill>
              <w14:schemeClr w14:val="tx1"/>
            </w14:solidFill>
          </w14:textFill>
        </w:rPr>
        <w:t>课程、本硕</w:t>
      </w:r>
      <w:r>
        <w:rPr>
          <w:rFonts w:ascii="仿宋" w:hAnsi="仿宋" w:eastAsia="仿宋" w:cs="仿宋"/>
          <w:color w:val="000000" w:themeColor="text1"/>
          <w:sz w:val="28"/>
          <w:szCs w:val="28"/>
          <w14:textFill>
            <w14:solidFill>
              <w14:schemeClr w14:val="tx1"/>
            </w14:solidFill>
          </w14:textFill>
        </w:rPr>
        <w:t>贯通课程</w:t>
      </w:r>
      <w:r>
        <w:rPr>
          <w:rFonts w:hint="eastAsia" w:ascii="仿宋" w:hAnsi="仿宋" w:eastAsia="仿宋" w:cs="仿宋"/>
          <w:color w:val="000000" w:themeColor="text1"/>
          <w:sz w:val="28"/>
          <w:szCs w:val="28"/>
          <w14:textFill>
            <w14:solidFill>
              <w14:schemeClr w14:val="tx1"/>
            </w14:solidFill>
          </w14:textFill>
        </w:rPr>
        <w:t>）。</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（六）学分分配</w:t>
      </w:r>
    </w:p>
    <w:p>
      <w:pPr>
        <w:ind w:firstLine="560" w:firstLineChars="200"/>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各课程模块学分分布及比例。</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（七）教学计划</w:t>
      </w:r>
    </w:p>
    <w:p>
      <w:pPr>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按模板</w:t>
      </w:r>
      <w:r>
        <w:rPr>
          <w:rFonts w:ascii="仿宋" w:hAnsi="仿宋" w:eastAsia="仿宋" w:cs="仿宋"/>
          <w:color w:val="000000" w:themeColor="text1"/>
          <w:kern w:val="0"/>
          <w:sz w:val="28"/>
          <w:szCs w:val="28"/>
          <w:lang w:bidi="ar"/>
          <w14:textFill>
            <w14:solidFill>
              <w14:schemeClr w14:val="tx1"/>
            </w14:solidFill>
          </w14:textFill>
        </w:rPr>
        <w:t>要求</w:t>
      </w:r>
      <w:r>
        <w:rPr>
          <w:rFonts w:hint="eastAsia" w:ascii="仿宋" w:hAnsi="仿宋" w:eastAsia="仿宋" w:cs="仿宋"/>
          <w:color w:val="000000" w:themeColor="text1"/>
          <w:kern w:val="0"/>
          <w:sz w:val="28"/>
          <w:szCs w:val="28"/>
          <w:lang w:bidi="ar"/>
          <w14:textFill>
            <w14:solidFill>
              <w14:schemeClr w14:val="tx1"/>
            </w14:solidFill>
          </w14:textFill>
        </w:rPr>
        <w:t>填写周学时、教学进程。设置教学进程时，应尽量保证理论教学连贯。</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（八）毕业要求支撑培养目标矩阵图</w:t>
      </w:r>
    </w:p>
    <w:p>
      <w:pPr>
        <w:pStyle w:val="3"/>
        <w:ind w:firstLine="562"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（九）课程体系支撑毕业要求矩阵图</w:t>
      </w:r>
    </w:p>
    <w:p>
      <w:pPr>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kern w:val="0"/>
          <w:sz w:val="28"/>
          <w:szCs w:val="28"/>
          <w:lang w:val="en-US" w:eastAsia="zh-CN" w:bidi="ar"/>
          <w14:textFill>
            <w14:solidFill>
              <w14:schemeClr w14:val="tx1"/>
            </w14:solidFill>
          </w14:textFill>
        </w:rPr>
        <w:t>公共课程支撑毕业要求矩阵图见附件2-8。</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（十）课程先后修关系图</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（十一）专业</w:t>
      </w:r>
      <w:r>
        <w:rPr>
          <w:color w:val="000000" w:themeColor="text1"/>
          <w14:textFill>
            <w14:solidFill>
              <w14:schemeClr w14:val="tx1"/>
            </w14:solidFill>
          </w14:textFill>
        </w:rPr>
        <w:t>对标</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表</w:t>
      </w:r>
    </w:p>
    <w:p>
      <w:pPr>
        <w:pStyle w:val="3"/>
        <w:ind w:firstLine="56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（十二）培养方案</w:t>
      </w:r>
      <w:r>
        <w:rPr>
          <w:color w:val="000000" w:themeColor="text1"/>
          <w14:textFill>
            <w14:solidFill>
              <w14:schemeClr w14:val="tx1"/>
            </w14:solidFill>
          </w14:textFill>
        </w:rPr>
        <w:t>修订审批表</w:t>
      </w:r>
    </w:p>
    <w:p>
      <w:pPr>
        <w:rPr>
          <w:rFonts w:ascii="仿宋" w:hAnsi="仿宋" w:eastAsia="仿宋" w:cs="仿宋"/>
          <w:b/>
          <w:bCs/>
          <w:color w:val="000000" w:themeColor="text1"/>
          <w:sz w:val="28"/>
          <w:szCs w:val="28"/>
          <w14:textFill>
            <w14:solidFill>
              <w14:schemeClr w14:val="tx1"/>
            </w14:solidFill>
          </w14:textFill>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
    <w:altName w:val="@微软雅黑"/>
    <w:panose1 w:val="00000000000000000000"/>
    <w:charset w:val="86"/>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rPr>
        <w:lang w:val="zh-CN"/>
      </w:rPr>
      <w:fldChar w:fldCharType="end"/>
    </w:r>
  </w:p>
  <w:p>
    <w:pPr>
      <w:pStyle w:val="7"/>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4A"/>
    <w:rsid w:val="000002EB"/>
    <w:rsid w:val="000003E3"/>
    <w:rsid w:val="00023DF0"/>
    <w:rsid w:val="0003485F"/>
    <w:rsid w:val="00035834"/>
    <w:rsid w:val="000404B7"/>
    <w:rsid w:val="000434A8"/>
    <w:rsid w:val="00044FDD"/>
    <w:rsid w:val="000467DC"/>
    <w:rsid w:val="00051F47"/>
    <w:rsid w:val="00053507"/>
    <w:rsid w:val="00054643"/>
    <w:rsid w:val="000546B3"/>
    <w:rsid w:val="000551F2"/>
    <w:rsid w:val="00071BCE"/>
    <w:rsid w:val="000728CD"/>
    <w:rsid w:val="000729CB"/>
    <w:rsid w:val="00073A40"/>
    <w:rsid w:val="00075F14"/>
    <w:rsid w:val="00077970"/>
    <w:rsid w:val="00085F53"/>
    <w:rsid w:val="000913D5"/>
    <w:rsid w:val="000964B0"/>
    <w:rsid w:val="000A2E98"/>
    <w:rsid w:val="000B11F6"/>
    <w:rsid w:val="000B1BC9"/>
    <w:rsid w:val="000B4F36"/>
    <w:rsid w:val="000B5843"/>
    <w:rsid w:val="000D1186"/>
    <w:rsid w:val="000D31CC"/>
    <w:rsid w:val="000E1AB7"/>
    <w:rsid w:val="000E537E"/>
    <w:rsid w:val="000F6849"/>
    <w:rsid w:val="00103275"/>
    <w:rsid w:val="00116792"/>
    <w:rsid w:val="00124EE5"/>
    <w:rsid w:val="00130B47"/>
    <w:rsid w:val="00132D6B"/>
    <w:rsid w:val="00135934"/>
    <w:rsid w:val="00141FEE"/>
    <w:rsid w:val="0014479E"/>
    <w:rsid w:val="0015262E"/>
    <w:rsid w:val="00153E11"/>
    <w:rsid w:val="001554C3"/>
    <w:rsid w:val="001656AF"/>
    <w:rsid w:val="00173E1A"/>
    <w:rsid w:val="00185831"/>
    <w:rsid w:val="00185D79"/>
    <w:rsid w:val="00187370"/>
    <w:rsid w:val="001A35BE"/>
    <w:rsid w:val="001A787D"/>
    <w:rsid w:val="001B0642"/>
    <w:rsid w:val="001B49BE"/>
    <w:rsid w:val="001B5728"/>
    <w:rsid w:val="001B583A"/>
    <w:rsid w:val="001C08A0"/>
    <w:rsid w:val="001C471B"/>
    <w:rsid w:val="001C4831"/>
    <w:rsid w:val="001C70A6"/>
    <w:rsid w:val="001D30E2"/>
    <w:rsid w:val="001D6532"/>
    <w:rsid w:val="001E06D1"/>
    <w:rsid w:val="001E1C63"/>
    <w:rsid w:val="001F5292"/>
    <w:rsid w:val="001F7330"/>
    <w:rsid w:val="002110A5"/>
    <w:rsid w:val="00213B8F"/>
    <w:rsid w:val="00215A37"/>
    <w:rsid w:val="00221C85"/>
    <w:rsid w:val="00225538"/>
    <w:rsid w:val="00235385"/>
    <w:rsid w:val="00241967"/>
    <w:rsid w:val="002427BD"/>
    <w:rsid w:val="0024286D"/>
    <w:rsid w:val="0025289B"/>
    <w:rsid w:val="00254134"/>
    <w:rsid w:val="00264ED9"/>
    <w:rsid w:val="00270F30"/>
    <w:rsid w:val="002863E7"/>
    <w:rsid w:val="002865B8"/>
    <w:rsid w:val="00287E1A"/>
    <w:rsid w:val="002902C6"/>
    <w:rsid w:val="00290846"/>
    <w:rsid w:val="00293045"/>
    <w:rsid w:val="0029354C"/>
    <w:rsid w:val="00296229"/>
    <w:rsid w:val="00297D1E"/>
    <w:rsid w:val="002A1B51"/>
    <w:rsid w:val="002A3A01"/>
    <w:rsid w:val="002A7B28"/>
    <w:rsid w:val="002B2156"/>
    <w:rsid w:val="002B430C"/>
    <w:rsid w:val="002D5809"/>
    <w:rsid w:val="002E115B"/>
    <w:rsid w:val="002E4803"/>
    <w:rsid w:val="002E7AF6"/>
    <w:rsid w:val="002F0DB0"/>
    <w:rsid w:val="002F2ABC"/>
    <w:rsid w:val="002F42E9"/>
    <w:rsid w:val="00301979"/>
    <w:rsid w:val="00301BB1"/>
    <w:rsid w:val="00303E6B"/>
    <w:rsid w:val="00305272"/>
    <w:rsid w:val="00307BE8"/>
    <w:rsid w:val="003128AD"/>
    <w:rsid w:val="00323767"/>
    <w:rsid w:val="0032787D"/>
    <w:rsid w:val="00327C11"/>
    <w:rsid w:val="003344BF"/>
    <w:rsid w:val="003412F8"/>
    <w:rsid w:val="003432E7"/>
    <w:rsid w:val="003457F9"/>
    <w:rsid w:val="00353525"/>
    <w:rsid w:val="00362631"/>
    <w:rsid w:val="00363828"/>
    <w:rsid w:val="0037032F"/>
    <w:rsid w:val="00375BB1"/>
    <w:rsid w:val="00394143"/>
    <w:rsid w:val="003B6955"/>
    <w:rsid w:val="003B6C76"/>
    <w:rsid w:val="003B7D08"/>
    <w:rsid w:val="003C4A14"/>
    <w:rsid w:val="003C7B93"/>
    <w:rsid w:val="003D0EDF"/>
    <w:rsid w:val="003D10DC"/>
    <w:rsid w:val="003D1885"/>
    <w:rsid w:val="003D1F9F"/>
    <w:rsid w:val="003F509F"/>
    <w:rsid w:val="004019DA"/>
    <w:rsid w:val="00402254"/>
    <w:rsid w:val="00415EF6"/>
    <w:rsid w:val="004235AB"/>
    <w:rsid w:val="00437416"/>
    <w:rsid w:val="004509D9"/>
    <w:rsid w:val="00457686"/>
    <w:rsid w:val="00466D5D"/>
    <w:rsid w:val="00467642"/>
    <w:rsid w:val="0047247A"/>
    <w:rsid w:val="004765A4"/>
    <w:rsid w:val="00476C9D"/>
    <w:rsid w:val="00485F98"/>
    <w:rsid w:val="00486255"/>
    <w:rsid w:val="00492DCC"/>
    <w:rsid w:val="004A0060"/>
    <w:rsid w:val="004A1577"/>
    <w:rsid w:val="004A1AEB"/>
    <w:rsid w:val="004B664D"/>
    <w:rsid w:val="004C01A6"/>
    <w:rsid w:val="004C20FC"/>
    <w:rsid w:val="004C3DA2"/>
    <w:rsid w:val="004C557B"/>
    <w:rsid w:val="004E087A"/>
    <w:rsid w:val="004E3B6E"/>
    <w:rsid w:val="004E4EA2"/>
    <w:rsid w:val="004F1605"/>
    <w:rsid w:val="004F282D"/>
    <w:rsid w:val="00500B3E"/>
    <w:rsid w:val="0050532A"/>
    <w:rsid w:val="00505BBF"/>
    <w:rsid w:val="0050682C"/>
    <w:rsid w:val="00506975"/>
    <w:rsid w:val="005105D9"/>
    <w:rsid w:val="005118A8"/>
    <w:rsid w:val="00512A22"/>
    <w:rsid w:val="0052273D"/>
    <w:rsid w:val="00526F12"/>
    <w:rsid w:val="00535DEA"/>
    <w:rsid w:val="0053627C"/>
    <w:rsid w:val="00551B01"/>
    <w:rsid w:val="00562763"/>
    <w:rsid w:val="00563373"/>
    <w:rsid w:val="00564EE2"/>
    <w:rsid w:val="00584F9B"/>
    <w:rsid w:val="005906DF"/>
    <w:rsid w:val="00595B2B"/>
    <w:rsid w:val="005A12AC"/>
    <w:rsid w:val="005B3430"/>
    <w:rsid w:val="005B515E"/>
    <w:rsid w:val="005C2823"/>
    <w:rsid w:val="005C4336"/>
    <w:rsid w:val="005C4705"/>
    <w:rsid w:val="005E783A"/>
    <w:rsid w:val="005F5847"/>
    <w:rsid w:val="005F593F"/>
    <w:rsid w:val="0060275B"/>
    <w:rsid w:val="0061203C"/>
    <w:rsid w:val="00613924"/>
    <w:rsid w:val="00622404"/>
    <w:rsid w:val="006228B7"/>
    <w:rsid w:val="00624C08"/>
    <w:rsid w:val="00630FD6"/>
    <w:rsid w:val="0063461A"/>
    <w:rsid w:val="006407FF"/>
    <w:rsid w:val="0064284A"/>
    <w:rsid w:val="00652932"/>
    <w:rsid w:val="00660FF2"/>
    <w:rsid w:val="00661891"/>
    <w:rsid w:val="0066430C"/>
    <w:rsid w:val="00665023"/>
    <w:rsid w:val="006676DF"/>
    <w:rsid w:val="00667B64"/>
    <w:rsid w:val="00676BE6"/>
    <w:rsid w:val="0068468E"/>
    <w:rsid w:val="00686521"/>
    <w:rsid w:val="006A491C"/>
    <w:rsid w:val="006A49F1"/>
    <w:rsid w:val="006B3225"/>
    <w:rsid w:val="006D03A2"/>
    <w:rsid w:val="006F34D3"/>
    <w:rsid w:val="00704231"/>
    <w:rsid w:val="00706EEB"/>
    <w:rsid w:val="007071B6"/>
    <w:rsid w:val="007125A8"/>
    <w:rsid w:val="007136FA"/>
    <w:rsid w:val="0071766E"/>
    <w:rsid w:val="007234CA"/>
    <w:rsid w:val="00731F85"/>
    <w:rsid w:val="00734F25"/>
    <w:rsid w:val="00735946"/>
    <w:rsid w:val="00746DC6"/>
    <w:rsid w:val="00747BA8"/>
    <w:rsid w:val="0075050B"/>
    <w:rsid w:val="00764F39"/>
    <w:rsid w:val="00765A59"/>
    <w:rsid w:val="007734D0"/>
    <w:rsid w:val="00793B51"/>
    <w:rsid w:val="007A6DFA"/>
    <w:rsid w:val="007B2E4F"/>
    <w:rsid w:val="007B470B"/>
    <w:rsid w:val="007B51DC"/>
    <w:rsid w:val="007B67B7"/>
    <w:rsid w:val="007B6A3E"/>
    <w:rsid w:val="007B737C"/>
    <w:rsid w:val="007C07C5"/>
    <w:rsid w:val="007C19CD"/>
    <w:rsid w:val="007D0816"/>
    <w:rsid w:val="007D4BE5"/>
    <w:rsid w:val="007D7ED2"/>
    <w:rsid w:val="007E318C"/>
    <w:rsid w:val="007E71BC"/>
    <w:rsid w:val="007F1ADD"/>
    <w:rsid w:val="007F1C6F"/>
    <w:rsid w:val="007F1F08"/>
    <w:rsid w:val="007F4097"/>
    <w:rsid w:val="0080311A"/>
    <w:rsid w:val="00812CD2"/>
    <w:rsid w:val="00823330"/>
    <w:rsid w:val="008325A9"/>
    <w:rsid w:val="00834471"/>
    <w:rsid w:val="00837D7B"/>
    <w:rsid w:val="00844FAC"/>
    <w:rsid w:val="00845C8B"/>
    <w:rsid w:val="00854AFB"/>
    <w:rsid w:val="00875767"/>
    <w:rsid w:val="00875D54"/>
    <w:rsid w:val="00877069"/>
    <w:rsid w:val="00882C80"/>
    <w:rsid w:val="0089268F"/>
    <w:rsid w:val="008964A8"/>
    <w:rsid w:val="008A101A"/>
    <w:rsid w:val="008A3BB5"/>
    <w:rsid w:val="008B0D07"/>
    <w:rsid w:val="008C3FDC"/>
    <w:rsid w:val="008C62A1"/>
    <w:rsid w:val="008D150E"/>
    <w:rsid w:val="008D7670"/>
    <w:rsid w:val="008E0169"/>
    <w:rsid w:val="008E7777"/>
    <w:rsid w:val="008F03AA"/>
    <w:rsid w:val="008F2496"/>
    <w:rsid w:val="008F286C"/>
    <w:rsid w:val="008F6667"/>
    <w:rsid w:val="009038FB"/>
    <w:rsid w:val="00905A1F"/>
    <w:rsid w:val="00913DA2"/>
    <w:rsid w:val="0092095F"/>
    <w:rsid w:val="00924728"/>
    <w:rsid w:val="009362EC"/>
    <w:rsid w:val="009369F4"/>
    <w:rsid w:val="0094097A"/>
    <w:rsid w:val="00941235"/>
    <w:rsid w:val="00945EAF"/>
    <w:rsid w:val="00952EE4"/>
    <w:rsid w:val="0096405D"/>
    <w:rsid w:val="009731C2"/>
    <w:rsid w:val="009847D5"/>
    <w:rsid w:val="00985EB5"/>
    <w:rsid w:val="009918CE"/>
    <w:rsid w:val="00994875"/>
    <w:rsid w:val="009A18C0"/>
    <w:rsid w:val="009B04A1"/>
    <w:rsid w:val="009B5A2D"/>
    <w:rsid w:val="009C0867"/>
    <w:rsid w:val="009C1B90"/>
    <w:rsid w:val="009C2B4B"/>
    <w:rsid w:val="009C3DB2"/>
    <w:rsid w:val="009C41E9"/>
    <w:rsid w:val="009C66BA"/>
    <w:rsid w:val="009D0829"/>
    <w:rsid w:val="009D0DB6"/>
    <w:rsid w:val="009D332B"/>
    <w:rsid w:val="009D4828"/>
    <w:rsid w:val="009D79FE"/>
    <w:rsid w:val="009E01D2"/>
    <w:rsid w:val="009E0E74"/>
    <w:rsid w:val="009F08D0"/>
    <w:rsid w:val="00A0470C"/>
    <w:rsid w:val="00A051F0"/>
    <w:rsid w:val="00A155B9"/>
    <w:rsid w:val="00A17CD8"/>
    <w:rsid w:val="00A2511A"/>
    <w:rsid w:val="00A37420"/>
    <w:rsid w:val="00A43E0C"/>
    <w:rsid w:val="00A54A6B"/>
    <w:rsid w:val="00A55786"/>
    <w:rsid w:val="00A63E28"/>
    <w:rsid w:val="00A72D58"/>
    <w:rsid w:val="00A74DCA"/>
    <w:rsid w:val="00A91139"/>
    <w:rsid w:val="00AA478A"/>
    <w:rsid w:val="00AC1611"/>
    <w:rsid w:val="00AC1EE8"/>
    <w:rsid w:val="00AC40F1"/>
    <w:rsid w:val="00AD0BAF"/>
    <w:rsid w:val="00AD0C65"/>
    <w:rsid w:val="00AD13FA"/>
    <w:rsid w:val="00AD2B3D"/>
    <w:rsid w:val="00AD79C3"/>
    <w:rsid w:val="00AE71A4"/>
    <w:rsid w:val="00AE7BED"/>
    <w:rsid w:val="00B0081A"/>
    <w:rsid w:val="00B03F83"/>
    <w:rsid w:val="00B108B3"/>
    <w:rsid w:val="00B15947"/>
    <w:rsid w:val="00B16DE0"/>
    <w:rsid w:val="00B20954"/>
    <w:rsid w:val="00B226CA"/>
    <w:rsid w:val="00B238AD"/>
    <w:rsid w:val="00B23E7F"/>
    <w:rsid w:val="00B26E22"/>
    <w:rsid w:val="00B40F41"/>
    <w:rsid w:val="00B4175A"/>
    <w:rsid w:val="00B4715B"/>
    <w:rsid w:val="00B54306"/>
    <w:rsid w:val="00B757EB"/>
    <w:rsid w:val="00B80960"/>
    <w:rsid w:val="00B814E7"/>
    <w:rsid w:val="00B8305B"/>
    <w:rsid w:val="00B9093C"/>
    <w:rsid w:val="00B93E3D"/>
    <w:rsid w:val="00BA3BB3"/>
    <w:rsid w:val="00BB15F4"/>
    <w:rsid w:val="00BC1230"/>
    <w:rsid w:val="00BC4AEB"/>
    <w:rsid w:val="00BC7655"/>
    <w:rsid w:val="00BD6F34"/>
    <w:rsid w:val="00BD6F39"/>
    <w:rsid w:val="00BE2D7D"/>
    <w:rsid w:val="00BE7F1E"/>
    <w:rsid w:val="00BF08C7"/>
    <w:rsid w:val="00BF2A99"/>
    <w:rsid w:val="00BF39BC"/>
    <w:rsid w:val="00BF6120"/>
    <w:rsid w:val="00C066B7"/>
    <w:rsid w:val="00C10316"/>
    <w:rsid w:val="00C104B1"/>
    <w:rsid w:val="00C12ECD"/>
    <w:rsid w:val="00C17EA5"/>
    <w:rsid w:val="00C2025F"/>
    <w:rsid w:val="00C22C0B"/>
    <w:rsid w:val="00C231B4"/>
    <w:rsid w:val="00C26788"/>
    <w:rsid w:val="00C322FD"/>
    <w:rsid w:val="00C362D5"/>
    <w:rsid w:val="00C37C0D"/>
    <w:rsid w:val="00C41A77"/>
    <w:rsid w:val="00C43DFD"/>
    <w:rsid w:val="00C478AA"/>
    <w:rsid w:val="00C5172C"/>
    <w:rsid w:val="00C53AA1"/>
    <w:rsid w:val="00C54D51"/>
    <w:rsid w:val="00C551C6"/>
    <w:rsid w:val="00C55A4B"/>
    <w:rsid w:val="00C56E7E"/>
    <w:rsid w:val="00C6395C"/>
    <w:rsid w:val="00C708B6"/>
    <w:rsid w:val="00C713F5"/>
    <w:rsid w:val="00C73250"/>
    <w:rsid w:val="00C74064"/>
    <w:rsid w:val="00CA3810"/>
    <w:rsid w:val="00CA3C42"/>
    <w:rsid w:val="00CB7BB6"/>
    <w:rsid w:val="00CC0220"/>
    <w:rsid w:val="00CC0C43"/>
    <w:rsid w:val="00CC0FA9"/>
    <w:rsid w:val="00CC38AA"/>
    <w:rsid w:val="00CC5716"/>
    <w:rsid w:val="00CD06A9"/>
    <w:rsid w:val="00CF1763"/>
    <w:rsid w:val="00CF7D73"/>
    <w:rsid w:val="00D02D4B"/>
    <w:rsid w:val="00D04EF1"/>
    <w:rsid w:val="00D062BE"/>
    <w:rsid w:val="00D127EE"/>
    <w:rsid w:val="00D143DC"/>
    <w:rsid w:val="00D171C4"/>
    <w:rsid w:val="00D247E3"/>
    <w:rsid w:val="00D32473"/>
    <w:rsid w:val="00D40FED"/>
    <w:rsid w:val="00D42B36"/>
    <w:rsid w:val="00D60BCD"/>
    <w:rsid w:val="00D63906"/>
    <w:rsid w:val="00D65E1C"/>
    <w:rsid w:val="00D65E43"/>
    <w:rsid w:val="00D764CE"/>
    <w:rsid w:val="00D91020"/>
    <w:rsid w:val="00D92A92"/>
    <w:rsid w:val="00D97397"/>
    <w:rsid w:val="00DA2BAE"/>
    <w:rsid w:val="00DB620F"/>
    <w:rsid w:val="00DB684F"/>
    <w:rsid w:val="00DD4039"/>
    <w:rsid w:val="00DE1CD5"/>
    <w:rsid w:val="00DE2E80"/>
    <w:rsid w:val="00DE76F3"/>
    <w:rsid w:val="00DF09B6"/>
    <w:rsid w:val="00DF0E51"/>
    <w:rsid w:val="00DF29F4"/>
    <w:rsid w:val="00DF6794"/>
    <w:rsid w:val="00E04A9B"/>
    <w:rsid w:val="00E1268D"/>
    <w:rsid w:val="00E206DD"/>
    <w:rsid w:val="00E21165"/>
    <w:rsid w:val="00E27F2F"/>
    <w:rsid w:val="00E3022A"/>
    <w:rsid w:val="00E30BA8"/>
    <w:rsid w:val="00E42A25"/>
    <w:rsid w:val="00E47039"/>
    <w:rsid w:val="00E5119D"/>
    <w:rsid w:val="00E5364B"/>
    <w:rsid w:val="00E54214"/>
    <w:rsid w:val="00E56793"/>
    <w:rsid w:val="00E56886"/>
    <w:rsid w:val="00E63126"/>
    <w:rsid w:val="00E67F04"/>
    <w:rsid w:val="00E802DE"/>
    <w:rsid w:val="00E92C2B"/>
    <w:rsid w:val="00EA5915"/>
    <w:rsid w:val="00EB0966"/>
    <w:rsid w:val="00EB1B24"/>
    <w:rsid w:val="00EB39D7"/>
    <w:rsid w:val="00EB4C91"/>
    <w:rsid w:val="00EB711F"/>
    <w:rsid w:val="00EC24F0"/>
    <w:rsid w:val="00EC7788"/>
    <w:rsid w:val="00ED205D"/>
    <w:rsid w:val="00EE50C9"/>
    <w:rsid w:val="00EF08DD"/>
    <w:rsid w:val="00EF0B5B"/>
    <w:rsid w:val="00EF5071"/>
    <w:rsid w:val="00F02325"/>
    <w:rsid w:val="00F06D55"/>
    <w:rsid w:val="00F15A8E"/>
    <w:rsid w:val="00F21B34"/>
    <w:rsid w:val="00F24181"/>
    <w:rsid w:val="00F241DA"/>
    <w:rsid w:val="00F326EE"/>
    <w:rsid w:val="00F3405C"/>
    <w:rsid w:val="00F614A3"/>
    <w:rsid w:val="00F6224C"/>
    <w:rsid w:val="00F639DF"/>
    <w:rsid w:val="00F70A07"/>
    <w:rsid w:val="00F810AB"/>
    <w:rsid w:val="00F84C34"/>
    <w:rsid w:val="00F86D0D"/>
    <w:rsid w:val="00F926C2"/>
    <w:rsid w:val="00F93F4A"/>
    <w:rsid w:val="00F94461"/>
    <w:rsid w:val="00F97D8A"/>
    <w:rsid w:val="00FA14E5"/>
    <w:rsid w:val="00FA746B"/>
    <w:rsid w:val="00FB1500"/>
    <w:rsid w:val="00FB3788"/>
    <w:rsid w:val="00FB4755"/>
    <w:rsid w:val="00FC159C"/>
    <w:rsid w:val="00FC723A"/>
    <w:rsid w:val="00FD05B1"/>
    <w:rsid w:val="00FE2B69"/>
    <w:rsid w:val="00FE37B0"/>
    <w:rsid w:val="00FF7602"/>
    <w:rsid w:val="033D056D"/>
    <w:rsid w:val="05B81C79"/>
    <w:rsid w:val="06FC3CE5"/>
    <w:rsid w:val="17301B93"/>
    <w:rsid w:val="1C9E20E5"/>
    <w:rsid w:val="206B2476"/>
    <w:rsid w:val="225D047F"/>
    <w:rsid w:val="358348AD"/>
    <w:rsid w:val="36EF49F2"/>
    <w:rsid w:val="394C35CD"/>
    <w:rsid w:val="3AB55BB1"/>
    <w:rsid w:val="3F207B4A"/>
    <w:rsid w:val="40F431D8"/>
    <w:rsid w:val="44840323"/>
    <w:rsid w:val="45FE0868"/>
    <w:rsid w:val="5114733F"/>
    <w:rsid w:val="53842508"/>
    <w:rsid w:val="5D0A0C5A"/>
    <w:rsid w:val="62D503D5"/>
    <w:rsid w:val="62EB5587"/>
    <w:rsid w:val="65282EB2"/>
    <w:rsid w:val="67105788"/>
    <w:rsid w:val="699517E2"/>
    <w:rsid w:val="76981062"/>
    <w:rsid w:val="7C63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6"/>
    <w:qFormat/>
    <w:uiPriority w:val="99"/>
    <w:pPr>
      <w:keepNext/>
      <w:keepLines/>
      <w:spacing w:line="720" w:lineRule="auto"/>
      <w:ind w:left="210" w:leftChars="100" w:right="210" w:rightChars="100"/>
      <w:outlineLvl w:val="0"/>
    </w:pPr>
    <w:rPr>
      <w:rFonts w:eastAsia="仿宋_GB2312" w:cs="Calibri"/>
      <w:b/>
      <w:bCs/>
      <w:kern w:val="44"/>
      <w:sz w:val="32"/>
      <w:szCs w:val="44"/>
    </w:rPr>
  </w:style>
  <w:style w:type="paragraph" w:styleId="3">
    <w:name w:val="heading 2"/>
    <w:basedOn w:val="4"/>
    <w:next w:val="1"/>
    <w:link w:val="87"/>
    <w:qFormat/>
    <w:uiPriority w:val="99"/>
    <w:pPr>
      <w:spacing w:before="0" w:after="0" w:line="480" w:lineRule="auto"/>
      <w:ind w:firstLine="0" w:firstLineChars="0"/>
      <w:outlineLvl w:val="1"/>
    </w:pPr>
    <w:rPr>
      <w:rFonts w:ascii="仿宋" w:hAnsi="仿宋" w:eastAsia="仿宋" w:cs="仿宋"/>
      <w:szCs w:val="28"/>
    </w:rPr>
  </w:style>
  <w:style w:type="paragraph" w:styleId="4">
    <w:name w:val="heading 3"/>
    <w:basedOn w:val="1"/>
    <w:next w:val="1"/>
    <w:link w:val="90"/>
    <w:unhideWhenUsed/>
    <w:qFormat/>
    <w:uiPriority w:val="9"/>
    <w:pPr>
      <w:keepNext/>
      <w:keepLines/>
      <w:spacing w:before="140" w:after="140" w:line="415" w:lineRule="auto"/>
      <w:ind w:firstLine="602" w:firstLineChars="200"/>
      <w:outlineLvl w:val="2"/>
    </w:pPr>
    <w:rPr>
      <w:rFonts w:eastAsia="仿宋_GB2312"/>
      <w:b/>
      <w:bCs/>
      <w:sz w:val="28"/>
      <w:szCs w:val="32"/>
    </w:rPr>
  </w:style>
  <w:style w:type="paragraph" w:styleId="5">
    <w:name w:val="heading 4"/>
    <w:basedOn w:val="1"/>
    <w:next w:val="1"/>
    <w:link w:val="94"/>
    <w:unhideWhenUsed/>
    <w:qFormat/>
    <w:uiPriority w:val="9"/>
    <w:pPr>
      <w:keepNext/>
      <w:keepLines/>
      <w:spacing w:line="480" w:lineRule="auto"/>
      <w:ind w:firstLine="562" w:firstLineChars="200"/>
      <w:outlineLvl w:val="3"/>
    </w:pPr>
    <w:rPr>
      <w:rFonts w:eastAsia="仿宋_GB2312" w:asciiTheme="majorHAnsi" w:hAnsiTheme="majorHAnsi"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alloon Text"/>
    <w:basedOn w:val="1"/>
    <w:link w:val="85"/>
    <w:semiHidden/>
    <w:unhideWhenUsed/>
    <w:qFormat/>
    <w:uiPriority w:val="99"/>
    <w:rPr>
      <w:sz w:val="18"/>
      <w:szCs w:val="18"/>
    </w:rPr>
  </w:style>
  <w:style w:type="paragraph" w:styleId="7">
    <w:name w:val="footer"/>
    <w:basedOn w:val="1"/>
    <w:link w:val="81"/>
    <w:unhideWhenUsed/>
    <w:qFormat/>
    <w:uiPriority w:val="99"/>
    <w:pPr>
      <w:tabs>
        <w:tab w:val="center" w:pos="4153"/>
        <w:tab w:val="right" w:pos="8306"/>
      </w:tabs>
      <w:snapToGrid w:val="0"/>
      <w:jc w:val="left"/>
    </w:pPr>
    <w:rPr>
      <w:sz w:val="18"/>
      <w:szCs w:val="18"/>
    </w:rPr>
  </w:style>
  <w:style w:type="paragraph" w:styleId="8">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89"/>
    <w:qFormat/>
    <w:uiPriority w:val="1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FollowedHyperlink"/>
    <w:basedOn w:val="13"/>
    <w:semiHidden/>
    <w:unhideWhenUsed/>
    <w:qFormat/>
    <w:uiPriority w:val="99"/>
    <w:rPr>
      <w:color w:val="800080"/>
      <w:u w:val="single"/>
    </w:rPr>
  </w:style>
  <w:style w:type="character" w:styleId="17">
    <w:name w:val="Hyperlink"/>
    <w:basedOn w:val="13"/>
    <w:semiHidden/>
    <w:unhideWhenUsed/>
    <w:qFormat/>
    <w:uiPriority w:val="99"/>
    <w:rPr>
      <w:color w:val="0000FF"/>
      <w:u w:val="single"/>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font7"/>
    <w:basedOn w:val="1"/>
    <w:qFormat/>
    <w:uiPriority w:val="0"/>
    <w:pPr>
      <w:widowControl/>
      <w:spacing w:before="100" w:beforeAutospacing="1" w:after="100" w:afterAutospacing="1"/>
      <w:jc w:val="left"/>
    </w:pPr>
    <w:rPr>
      <w:rFonts w:ascii="Times New Roman" w:hAnsi="Times New Roman"/>
      <w:kern w:val="0"/>
      <w:sz w:val="28"/>
      <w:szCs w:val="28"/>
    </w:rPr>
  </w:style>
  <w:style w:type="paragraph" w:customStyle="1" w:styleId="21">
    <w:name w:val="font8"/>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22">
    <w:name w:val="font9"/>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23">
    <w:name w:val="font10"/>
    <w:basedOn w:val="1"/>
    <w:qFormat/>
    <w:uiPriority w:val="0"/>
    <w:pPr>
      <w:widowControl/>
      <w:spacing w:before="100" w:beforeAutospacing="1" w:after="100" w:afterAutospacing="1"/>
      <w:jc w:val="left"/>
    </w:pPr>
    <w:rPr>
      <w:rFonts w:ascii="Times New Roman" w:hAnsi="Times New Roman"/>
      <w:b/>
      <w:bCs/>
      <w:kern w:val="0"/>
      <w:szCs w:val="21"/>
    </w:rPr>
  </w:style>
  <w:style w:type="paragraph" w:customStyle="1" w:styleId="24">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5">
    <w:name w:val="font12"/>
    <w:basedOn w:val="1"/>
    <w:qFormat/>
    <w:uiPriority w:val="0"/>
    <w:pPr>
      <w:widowControl/>
      <w:spacing w:before="100" w:beforeAutospacing="1" w:after="100" w:afterAutospacing="1"/>
      <w:jc w:val="left"/>
    </w:pPr>
    <w:rPr>
      <w:rFonts w:ascii="Times New Roman" w:hAnsi="Times New Roman"/>
      <w:b/>
      <w:bCs/>
      <w:kern w:val="0"/>
      <w:sz w:val="18"/>
      <w:szCs w:val="18"/>
    </w:rPr>
  </w:style>
  <w:style w:type="paragraph" w:customStyle="1" w:styleId="26">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7">
    <w:name w:val="font14"/>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28">
    <w:name w:val="font15"/>
    <w:basedOn w:val="1"/>
    <w:qFormat/>
    <w:uiPriority w:val="0"/>
    <w:pPr>
      <w:widowControl/>
      <w:spacing w:before="100" w:beforeAutospacing="1" w:after="100" w:afterAutospacing="1"/>
      <w:jc w:val="left"/>
    </w:pPr>
    <w:rPr>
      <w:rFonts w:ascii="Times New Roman" w:hAnsi="Times New Roman"/>
      <w:b/>
      <w:bCs/>
      <w:color w:val="000000"/>
      <w:kern w:val="0"/>
      <w:sz w:val="18"/>
      <w:szCs w:val="18"/>
    </w:rPr>
  </w:style>
  <w:style w:type="paragraph" w:customStyle="1" w:styleId="29">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 w:hAnsi="@" w:eastAsia="@" w:cs="宋体"/>
      <w:kern w:val="0"/>
      <w:sz w:val="18"/>
      <w:szCs w:val="18"/>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18"/>
      <w:szCs w:val="18"/>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FF0000"/>
      <w:kern w:val="0"/>
      <w:sz w:val="18"/>
      <w:szCs w:val="18"/>
    </w:rPr>
  </w:style>
  <w:style w:type="paragraph" w:customStyle="1" w:styleId="37">
    <w:name w:val="xl70"/>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8">
    <w:name w:val="xl71"/>
    <w:basedOn w:val="1"/>
    <w:qFormat/>
    <w:uiPriority w:val="0"/>
    <w:pPr>
      <w:widowControl/>
      <w:pBdr>
        <w:bottom w:val="single" w:color="auto" w:sz="8" w:space="0"/>
        <w:right w:val="single" w:color="000000"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9">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0">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黑体" w:hAnsi="黑体" w:eastAsia="黑体" w:cs="宋体"/>
      <w:b/>
      <w:bCs/>
      <w:color w:val="000000"/>
      <w:kern w:val="0"/>
      <w:sz w:val="18"/>
      <w:szCs w:val="18"/>
    </w:rPr>
  </w:style>
  <w:style w:type="paragraph" w:customStyle="1" w:styleId="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8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8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87"/>
    <w:basedOn w:val="1"/>
    <w:qFormat/>
    <w:uiPriority w:val="0"/>
    <w:pPr>
      <w:widowControl/>
      <w:spacing w:before="100" w:beforeAutospacing="1" w:after="100" w:afterAutospacing="1"/>
      <w:jc w:val="center"/>
    </w:pPr>
    <w:rPr>
      <w:rFonts w:ascii="Times New Roman" w:hAnsi="Times New Roman"/>
      <w:kern w:val="0"/>
      <w:sz w:val="28"/>
      <w:szCs w:val="28"/>
    </w:rPr>
  </w:style>
  <w:style w:type="paragraph" w:customStyle="1" w:styleId="55">
    <w:name w:val="xl8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18"/>
      <w:szCs w:val="18"/>
    </w:rPr>
  </w:style>
  <w:style w:type="paragraph" w:customStyle="1" w:styleId="6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65">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6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6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9">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0">
    <w:name w:val="xl10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1">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2">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3">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8"/>
      <w:szCs w:val="18"/>
    </w:rPr>
  </w:style>
  <w:style w:type="paragraph" w:customStyle="1" w:styleId="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18"/>
      <w:szCs w:val="18"/>
    </w:rPr>
  </w:style>
  <w:style w:type="paragraph" w:customStyle="1" w:styleId="7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7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7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18"/>
      <w:szCs w:val="18"/>
    </w:rPr>
  </w:style>
  <w:style w:type="character" w:customStyle="1" w:styleId="80">
    <w:name w:val="页眉 Char"/>
    <w:basedOn w:val="13"/>
    <w:link w:val="8"/>
    <w:qFormat/>
    <w:uiPriority w:val="99"/>
    <w:rPr>
      <w:rFonts w:ascii="Calibri" w:hAnsi="Calibri" w:eastAsia="宋体" w:cs="Times New Roman"/>
      <w:sz w:val="18"/>
      <w:szCs w:val="18"/>
    </w:rPr>
  </w:style>
  <w:style w:type="character" w:customStyle="1" w:styleId="81">
    <w:name w:val="页脚 Char"/>
    <w:basedOn w:val="13"/>
    <w:link w:val="7"/>
    <w:qFormat/>
    <w:uiPriority w:val="99"/>
    <w:rPr>
      <w:rFonts w:ascii="Calibri" w:hAnsi="Calibri" w:eastAsia="宋体" w:cs="Times New Roman"/>
      <w:sz w:val="18"/>
      <w:szCs w:val="18"/>
    </w:rPr>
  </w:style>
  <w:style w:type="paragraph" w:customStyle="1" w:styleId="82">
    <w:name w:val="列出段落1"/>
    <w:basedOn w:val="1"/>
    <w:qFormat/>
    <w:uiPriority w:val="0"/>
    <w:pPr>
      <w:ind w:firstLine="420" w:firstLineChars="200"/>
    </w:pPr>
    <w:rPr>
      <w:rFonts w:cs="Calibri"/>
      <w:szCs w:val="21"/>
    </w:rPr>
  </w:style>
  <w:style w:type="paragraph" w:styleId="83">
    <w:name w:val="List Paragraph"/>
    <w:basedOn w:val="1"/>
    <w:qFormat/>
    <w:uiPriority w:val="99"/>
    <w:pPr>
      <w:ind w:firstLine="420" w:firstLineChars="200"/>
    </w:pPr>
    <w:rPr>
      <w:rFonts w:cs="Calibri"/>
      <w:szCs w:val="21"/>
    </w:rPr>
  </w:style>
  <w:style w:type="character" w:customStyle="1" w:styleId="84">
    <w:name w:val="qowt-font3-timesnewroman"/>
    <w:basedOn w:val="13"/>
    <w:qFormat/>
    <w:uiPriority w:val="0"/>
  </w:style>
  <w:style w:type="character" w:customStyle="1" w:styleId="85">
    <w:name w:val="批注框文本 Char"/>
    <w:basedOn w:val="13"/>
    <w:link w:val="6"/>
    <w:semiHidden/>
    <w:qFormat/>
    <w:uiPriority w:val="99"/>
    <w:rPr>
      <w:rFonts w:ascii="Calibri" w:hAnsi="Calibri" w:eastAsia="宋体" w:cs="Times New Roman"/>
      <w:sz w:val="18"/>
      <w:szCs w:val="18"/>
    </w:rPr>
  </w:style>
  <w:style w:type="character" w:customStyle="1" w:styleId="86">
    <w:name w:val="标题 1 Char"/>
    <w:basedOn w:val="13"/>
    <w:link w:val="2"/>
    <w:qFormat/>
    <w:uiPriority w:val="99"/>
    <w:rPr>
      <w:rFonts w:eastAsia="仿宋_GB2312" w:cs="Calibri"/>
      <w:b/>
      <w:bCs/>
      <w:kern w:val="44"/>
      <w:sz w:val="32"/>
      <w:szCs w:val="44"/>
    </w:rPr>
  </w:style>
  <w:style w:type="character" w:customStyle="1" w:styleId="87">
    <w:name w:val="标题 2 Char"/>
    <w:basedOn w:val="13"/>
    <w:link w:val="3"/>
    <w:qFormat/>
    <w:uiPriority w:val="99"/>
    <w:rPr>
      <w:rFonts w:ascii="仿宋" w:hAnsi="仿宋" w:eastAsia="仿宋" w:cs="仿宋"/>
      <w:b/>
      <w:bCs/>
      <w:kern w:val="2"/>
      <w:sz w:val="28"/>
      <w:szCs w:val="28"/>
    </w:rPr>
  </w:style>
  <w:style w:type="paragraph" w:customStyle="1" w:styleId="88">
    <w:name w:val="2"/>
    <w:basedOn w:val="1"/>
    <w:qFormat/>
    <w:uiPriority w:val="99"/>
    <w:pPr>
      <w:spacing w:before="240" w:after="240"/>
      <w:ind w:firstLine="200" w:firstLineChars="200"/>
    </w:pPr>
    <w:rPr>
      <w:rFonts w:ascii="Arial" w:hAnsi="Arial" w:eastAsia="黑体" w:cs="Arial"/>
      <w:sz w:val="24"/>
    </w:rPr>
  </w:style>
  <w:style w:type="character" w:customStyle="1" w:styleId="89">
    <w:name w:val="标题 Char"/>
    <w:basedOn w:val="13"/>
    <w:link w:val="10"/>
    <w:qFormat/>
    <w:uiPriority w:val="10"/>
    <w:rPr>
      <w:rFonts w:eastAsia="宋体" w:asciiTheme="majorHAnsi" w:hAnsiTheme="majorHAnsi" w:cstheme="majorBidi"/>
      <w:b/>
      <w:bCs/>
      <w:sz w:val="32"/>
      <w:szCs w:val="32"/>
    </w:rPr>
  </w:style>
  <w:style w:type="character" w:customStyle="1" w:styleId="90">
    <w:name w:val="标题 3 Char"/>
    <w:basedOn w:val="13"/>
    <w:link w:val="4"/>
    <w:qFormat/>
    <w:uiPriority w:val="9"/>
    <w:rPr>
      <w:rFonts w:eastAsia="仿宋_GB2312"/>
      <w:b/>
      <w:bCs/>
      <w:kern w:val="2"/>
      <w:sz w:val="28"/>
      <w:szCs w:val="32"/>
    </w:rPr>
  </w:style>
  <w:style w:type="paragraph" w:customStyle="1" w:styleId="9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xl37"/>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3">
    <w:name w:val="修订1"/>
    <w:hidden/>
    <w:semiHidden/>
    <w:qFormat/>
    <w:uiPriority w:val="99"/>
    <w:rPr>
      <w:rFonts w:ascii="Calibri" w:hAnsi="Calibri" w:eastAsia="宋体" w:cs="Times New Roman"/>
      <w:kern w:val="2"/>
      <w:sz w:val="21"/>
      <w:szCs w:val="24"/>
      <w:lang w:val="en-US" w:eastAsia="zh-CN" w:bidi="ar-SA"/>
    </w:rPr>
  </w:style>
  <w:style w:type="character" w:customStyle="1" w:styleId="94">
    <w:name w:val="标题 4 Char"/>
    <w:basedOn w:val="13"/>
    <w:link w:val="5"/>
    <w:qFormat/>
    <w:uiPriority w:val="9"/>
    <w:rPr>
      <w:rFonts w:eastAsia="仿宋_GB2312" w:asciiTheme="majorHAnsi" w:hAnsiTheme="majorHAnsi"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B8157-0A02-4400-A329-50E13E5D0CA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1112</Words>
  <Characters>6342</Characters>
  <Lines>52</Lines>
  <Paragraphs>14</Paragraphs>
  <TotalTime>316</TotalTime>
  <ScaleCrop>false</ScaleCrop>
  <LinksUpToDate>false</LinksUpToDate>
  <CharactersWithSpaces>7440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2021-01-13T06:33:00Z</dcterms:created>
  <dc:creator>admin</dc:creator>
  <cp:lastModifiedBy>鲁西西</cp:lastModifiedBy>
  <cp:lastPrinted>2021-04-06T02:18:55Z</cp:lastPrinted>
  <dcterms:modified xsi:type="dcterms:W3CDTF">2021-04-08T01:43:35Z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5381E4FFC3CD4D47AEFE1601CA91B67D</vt:lpwstr>
  </property>
</Properties>
</file>