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_GB2312" w:eastAsia="仿宋_GB2312"/>
          <w:sz w:val="32"/>
          <w:szCs w:val="32"/>
        </w:rPr>
      </w:pPr>
      <w:r>
        <w:rPr>
          <w:rFonts w:hint="eastAsia" w:ascii="仿宋_GB2312" w:eastAsia="仿宋_GB2312"/>
          <w:sz w:val="32"/>
          <w:szCs w:val="32"/>
        </w:rPr>
        <w:t>附件6：</w:t>
      </w:r>
    </w:p>
    <w:p>
      <w:pPr>
        <w:spacing w:line="600" w:lineRule="exact"/>
        <w:jc w:val="center"/>
        <w:rPr>
          <w:rFonts w:hint="eastAsia" w:ascii="宋体" w:hAnsi="宋体"/>
          <w:b/>
          <w:sz w:val="30"/>
          <w:szCs w:val="30"/>
        </w:rPr>
      </w:pPr>
      <w:r>
        <w:rPr>
          <w:rFonts w:hint="eastAsia" w:ascii="宋体" w:hAnsi="宋体"/>
          <w:b/>
          <w:sz w:val="30"/>
          <w:szCs w:val="30"/>
        </w:rPr>
        <w:t>2017级“自动化专业卓越工程师实验班”</w:t>
      </w:r>
    </w:p>
    <w:p>
      <w:pPr>
        <w:spacing w:after="156" w:afterLines="50" w:line="600" w:lineRule="exact"/>
        <w:jc w:val="center"/>
        <w:rPr>
          <w:rFonts w:hint="eastAsia" w:ascii="宋体" w:hAnsi="宋体"/>
          <w:b/>
          <w:bCs/>
          <w:sz w:val="30"/>
          <w:szCs w:val="30"/>
        </w:rPr>
      </w:pPr>
      <w:r>
        <w:rPr>
          <w:rFonts w:hint="eastAsia" w:ascii="宋体" w:hAnsi="宋体"/>
          <w:b/>
          <w:sz w:val="30"/>
          <w:szCs w:val="30"/>
        </w:rPr>
        <w:t>招生简章</w:t>
      </w:r>
    </w:p>
    <w:p>
      <w:pPr>
        <w:spacing w:line="540" w:lineRule="exact"/>
        <w:ind w:firstLine="480" w:firstLineChars="200"/>
        <w:rPr>
          <w:rFonts w:hint="eastAsia" w:ascii="宋体" w:hAnsi="宋体"/>
          <w:sz w:val="24"/>
        </w:rPr>
      </w:pPr>
      <w:r>
        <w:rPr>
          <w:rFonts w:hint="eastAsia" w:ascii="宋体" w:hAnsi="宋体"/>
          <w:sz w:val="24"/>
        </w:rPr>
        <w:t>随着制造强国战略和“中国制造2025”的稳步推进，我国需要培养大批具有自主创新能力的自动化工程技术人员，以振兴装备制造业，为新型工业化提供充足的人力支撑，实现我国工业由大到强的转变。“自动化专业卓越工程师”教改实验班（简称自动化实验班）是我校及我院探索工程教育人才培养模式、实施教学改革的一项重要举措。其主要目的是突出对学生自动化系统整体意识和全局观念的培养，强化工程实践能力，在培养过程中引导学生建立工程创新思维和意识，使其成为符合自动化产业急需的</w:t>
      </w:r>
      <w:r>
        <w:rPr>
          <w:rFonts w:hint="eastAsia" w:ascii="宋体" w:hAnsi="宋体" w:cs="宋体"/>
          <w:kern w:val="0"/>
          <w:sz w:val="24"/>
        </w:rPr>
        <w:t>系统设计、研发、</w:t>
      </w:r>
      <w:r>
        <w:rPr>
          <w:rFonts w:hint="eastAsia" w:ascii="宋体" w:hAnsi="宋体"/>
          <w:sz w:val="24"/>
        </w:rPr>
        <w:t>生产及技术支持人才。</w:t>
      </w:r>
    </w:p>
    <w:p>
      <w:pPr>
        <w:spacing w:line="540" w:lineRule="exact"/>
        <w:ind w:firstLine="480" w:firstLineChars="200"/>
        <w:rPr>
          <w:rFonts w:hint="eastAsia" w:ascii="宋体" w:hAnsi="宋体"/>
          <w:sz w:val="24"/>
        </w:rPr>
      </w:pPr>
      <w:r>
        <w:rPr>
          <w:rFonts w:hint="eastAsia" w:ascii="宋体" w:hAnsi="宋体"/>
          <w:sz w:val="24"/>
        </w:rPr>
        <w:t>“自动化专业卓越工程师”实验班主要有以下几个特点：</w:t>
      </w:r>
    </w:p>
    <w:p>
      <w:pPr>
        <w:spacing w:line="540" w:lineRule="exact"/>
        <w:ind w:firstLine="482" w:firstLineChars="200"/>
        <w:rPr>
          <w:rFonts w:hint="eastAsia" w:ascii="宋体" w:hAnsi="宋体"/>
          <w:sz w:val="24"/>
        </w:rPr>
      </w:pPr>
      <w:r>
        <w:rPr>
          <w:rFonts w:hint="eastAsia" w:ascii="宋体" w:hAnsi="宋体"/>
          <w:b/>
          <w:sz w:val="24"/>
        </w:rPr>
        <w:t>1、实行单班运行管理模式。</w:t>
      </w:r>
      <w:r>
        <w:rPr>
          <w:rFonts w:hint="eastAsia" w:ascii="宋体" w:hAnsi="宋体"/>
          <w:bCs/>
          <w:sz w:val="24"/>
        </w:rPr>
        <w:t>实验班</w:t>
      </w:r>
      <w:r>
        <w:rPr>
          <w:rFonts w:hint="eastAsia" w:ascii="宋体" w:hAnsi="宋体"/>
          <w:sz w:val="24"/>
        </w:rPr>
        <w:t>从第三学期开始单独设立班级。实验班执行专有的培养计划、课程体系和评价机制，并配备优秀的教学资源。专业基础课及公共课实施整班教学，部分专业课教学可结合学生兴趣由导师选定，但必须达到培养计划规定的学分。实验班可享受专用的创新实践训练场所，场所内配备丰富的实践教学设备和实验材料供使用，设备、实验材料根据教学进程同步更新。</w:t>
      </w:r>
    </w:p>
    <w:p>
      <w:pPr>
        <w:spacing w:line="540" w:lineRule="exact"/>
        <w:ind w:firstLine="482" w:firstLineChars="200"/>
        <w:rPr>
          <w:rFonts w:hint="eastAsia" w:ascii="宋体" w:hAnsi="宋体"/>
          <w:sz w:val="24"/>
        </w:rPr>
      </w:pPr>
      <w:r>
        <w:rPr>
          <w:rFonts w:hint="eastAsia" w:ascii="宋体" w:hAnsi="宋体"/>
          <w:b/>
          <w:sz w:val="24"/>
        </w:rPr>
        <w:t>2、实施导师制。</w:t>
      </w:r>
      <w:r>
        <w:rPr>
          <w:rFonts w:hint="eastAsia" w:ascii="宋体" w:hAnsi="宋体"/>
          <w:sz w:val="24"/>
        </w:rPr>
        <w:t>学生进入实验班后将由学院为每位学生配备高水平教师进行指导，导师根据学生的具体情况对学生的学习、课外科技活动、科学研究等方面提供全程指导。同时，实验班配备1名工程项目经验丰富的教师和1名理论功底深厚的博士教师作为专任管理教师，负责实验班的教学辅助管理。</w:t>
      </w:r>
    </w:p>
    <w:p>
      <w:pPr>
        <w:spacing w:line="540" w:lineRule="exact"/>
        <w:ind w:firstLine="482" w:firstLineChars="200"/>
        <w:rPr>
          <w:rFonts w:hint="eastAsia" w:ascii="宋体" w:hAnsi="宋体"/>
          <w:sz w:val="24"/>
        </w:rPr>
      </w:pPr>
      <w:r>
        <w:rPr>
          <w:rFonts w:hint="eastAsia" w:ascii="宋体" w:hAnsi="宋体"/>
          <w:b/>
          <w:sz w:val="24"/>
        </w:rPr>
        <w:t>3、采用CDIO理念为指导的工程教育培养模式。</w:t>
      </w:r>
      <w:r>
        <w:rPr>
          <w:rFonts w:hint="eastAsia" w:ascii="宋体" w:hAnsi="宋体"/>
          <w:sz w:val="24"/>
        </w:rPr>
        <w:t>按照自动化系统的构思、设计、实施和运作过程，引进工程项目，强化应用背景，以项目训练为载体，为学生构建真实的科研项目训练环境，培养学生的系统设计及实现能力和团队合作能力。为实现“学校培养——企业实践——就业”的无缝链接，在人才培养方案中规定了学生须完成总计半年以上的集中企业实践环节，并围绕实际动手操作能力及系统训练增设了电子工艺实训、综合自动化系统实训、创新实践训练等必修（选修）实践模块。学生在导师指导下，能充分利用学院的开放、创新实验室、校企联合实验室、学科实验室等各种资源，来完成各种工程实践训练，并将尽可能多地参与指导教师的科研和学术交流活动。</w:t>
      </w:r>
    </w:p>
    <w:p>
      <w:pPr>
        <w:adjustRightInd w:val="0"/>
        <w:snapToGrid w:val="0"/>
        <w:spacing w:line="540" w:lineRule="exact"/>
        <w:ind w:firstLine="482" w:firstLineChars="200"/>
        <w:rPr>
          <w:rFonts w:hint="eastAsia" w:ascii="宋体" w:hAnsi="宋体"/>
          <w:b/>
          <w:bCs/>
          <w:sz w:val="24"/>
        </w:rPr>
      </w:pPr>
      <w:r>
        <w:rPr>
          <w:rFonts w:hint="eastAsia" w:ascii="宋体" w:hAnsi="宋体"/>
          <w:b/>
          <w:sz w:val="24"/>
        </w:rPr>
        <w:t>4、高水平的教师队伍。</w:t>
      </w:r>
      <w:r>
        <w:rPr>
          <w:rFonts w:hint="eastAsia" w:ascii="宋体" w:hAnsi="宋体"/>
          <w:sz w:val="24"/>
        </w:rPr>
        <w:t>实验班将聘请本院</w:t>
      </w:r>
      <w:r>
        <w:rPr>
          <w:rFonts w:hint="eastAsia" w:ascii="宋体" w:hAnsi="宋体"/>
          <w:bCs/>
          <w:sz w:val="24"/>
        </w:rPr>
        <w:t>具有高级职称，具有丰富科研、工程经验的教师</w:t>
      </w:r>
      <w:r>
        <w:rPr>
          <w:rFonts w:hint="eastAsia" w:ascii="宋体" w:hAnsi="宋体"/>
          <w:sz w:val="24"/>
        </w:rPr>
        <w:t>授课，实验班专业课教学任务均由教授、副教授职称教师承担。按照自动化系统卓越工程师的知识、能力和素质要求，优化整合课程体系内容，围绕自动化系统的各个环节实施案例教学，注重教学方法的更新和创新思维训练，努力打造高水平的授课质量。</w:t>
      </w:r>
    </w:p>
    <w:p>
      <w:pPr>
        <w:spacing w:line="540" w:lineRule="exact"/>
        <w:ind w:firstLine="480" w:firstLineChars="200"/>
        <w:rPr>
          <w:rFonts w:hint="eastAsia" w:ascii="宋体" w:hAnsi="宋体"/>
          <w:sz w:val="24"/>
        </w:rPr>
      </w:pPr>
      <w:r>
        <w:rPr>
          <w:rFonts w:hint="eastAsia" w:ascii="宋体" w:hAnsi="宋体"/>
          <w:sz w:val="24"/>
        </w:rPr>
        <w:t>一、招生对象及人数</w:t>
      </w:r>
    </w:p>
    <w:p>
      <w:pPr>
        <w:spacing w:line="540" w:lineRule="exact"/>
        <w:ind w:firstLine="480" w:firstLineChars="200"/>
        <w:rPr>
          <w:rFonts w:hint="eastAsia" w:ascii="宋体" w:hAnsi="宋体"/>
          <w:sz w:val="24"/>
        </w:rPr>
      </w:pPr>
      <w:r>
        <w:rPr>
          <w:rFonts w:hint="eastAsia" w:ascii="宋体" w:hAnsi="宋体"/>
          <w:sz w:val="24"/>
        </w:rPr>
        <w:t>1、招生对象</w:t>
      </w:r>
    </w:p>
    <w:p>
      <w:pPr>
        <w:spacing w:line="540" w:lineRule="exact"/>
        <w:ind w:firstLine="480" w:firstLineChars="200"/>
        <w:rPr>
          <w:rFonts w:hint="eastAsia" w:ascii="宋体" w:hAnsi="宋体"/>
          <w:sz w:val="24"/>
        </w:rPr>
      </w:pPr>
      <w:r>
        <w:rPr>
          <w:rFonts w:hint="eastAsia" w:ascii="宋体" w:hAnsi="宋体"/>
          <w:sz w:val="24"/>
        </w:rPr>
        <w:t>电子信息工程学院“自动化专业卓越工程师实验班”实验班面向全校工科专业招生，择优录取。</w:t>
      </w:r>
    </w:p>
    <w:p>
      <w:pPr>
        <w:spacing w:line="540" w:lineRule="exact"/>
        <w:ind w:firstLine="480" w:firstLineChars="200"/>
        <w:rPr>
          <w:rFonts w:hint="eastAsia" w:ascii="宋体" w:hAnsi="宋体"/>
          <w:sz w:val="24"/>
        </w:rPr>
      </w:pPr>
      <w:r>
        <w:rPr>
          <w:rFonts w:hint="eastAsia" w:ascii="宋体" w:hAnsi="宋体"/>
          <w:sz w:val="24"/>
        </w:rPr>
        <w:t>2、招生人数</w:t>
      </w:r>
    </w:p>
    <w:p>
      <w:pPr>
        <w:spacing w:line="540" w:lineRule="exact"/>
        <w:ind w:firstLine="480" w:firstLineChars="200"/>
        <w:rPr>
          <w:rFonts w:hint="eastAsia" w:ascii="宋体" w:hAnsi="宋体"/>
          <w:sz w:val="24"/>
        </w:rPr>
      </w:pPr>
      <w:r>
        <w:rPr>
          <w:rFonts w:hint="eastAsia" w:ascii="宋体" w:hAnsi="宋体"/>
          <w:sz w:val="24"/>
        </w:rPr>
        <w:t>招生人数不超过30人，开班人数不低于20人，实行单班运行管理模式。</w:t>
      </w:r>
    </w:p>
    <w:p>
      <w:pPr>
        <w:spacing w:line="540" w:lineRule="exact"/>
        <w:ind w:firstLine="480" w:firstLineChars="200"/>
        <w:rPr>
          <w:rFonts w:hint="eastAsia" w:ascii="宋体" w:hAnsi="宋体"/>
          <w:sz w:val="24"/>
        </w:rPr>
      </w:pPr>
      <w:r>
        <w:rPr>
          <w:rFonts w:hint="eastAsia" w:ascii="宋体" w:hAnsi="宋体"/>
          <w:sz w:val="24"/>
        </w:rPr>
        <w:t>二、招生条件</w:t>
      </w:r>
    </w:p>
    <w:p>
      <w:pPr>
        <w:pStyle w:val="2"/>
        <w:tabs>
          <w:tab w:val="left" w:pos="0"/>
        </w:tabs>
        <w:spacing w:line="540" w:lineRule="exact"/>
        <w:ind w:firstLine="480"/>
        <w:rPr>
          <w:rFonts w:hint="eastAsia"/>
          <w:sz w:val="24"/>
        </w:rPr>
      </w:pPr>
      <w:r>
        <w:rPr>
          <w:rFonts w:hint="eastAsia"/>
          <w:sz w:val="24"/>
        </w:rPr>
        <w:t>1、具有较强的自主学习能力、良好的学风和团队合作精神，对开设的实验班有较强的兴趣；</w:t>
      </w:r>
    </w:p>
    <w:p>
      <w:pPr>
        <w:pStyle w:val="2"/>
        <w:tabs>
          <w:tab w:val="left" w:pos="0"/>
        </w:tabs>
        <w:spacing w:line="540" w:lineRule="exact"/>
        <w:ind w:firstLine="480"/>
        <w:rPr>
          <w:rFonts w:hint="eastAsia"/>
          <w:sz w:val="24"/>
        </w:rPr>
      </w:pPr>
      <w:r>
        <w:rPr>
          <w:rFonts w:hint="eastAsia"/>
          <w:sz w:val="24"/>
        </w:rPr>
        <w:t>2、前2学期，数学、物理、电路成绩好，原则上各门课程平均成绩在70分以上，无不及格核心课程；喜欢进行实践动手操作、参加过课外科技活动、或获得过省级以上竞赛奖项、有创新创业经验者优先考虑；</w:t>
      </w:r>
    </w:p>
    <w:p>
      <w:pPr>
        <w:pStyle w:val="2"/>
        <w:tabs>
          <w:tab w:val="left" w:pos="0"/>
        </w:tabs>
        <w:spacing w:line="540" w:lineRule="exact"/>
        <w:ind w:firstLine="480"/>
        <w:rPr>
          <w:rFonts w:hint="eastAsia"/>
          <w:sz w:val="24"/>
        </w:rPr>
      </w:pPr>
      <w:r>
        <w:rPr>
          <w:rFonts w:hint="eastAsia"/>
          <w:sz w:val="24"/>
        </w:rPr>
        <w:t>3、思维活跃、有较强的口头和书面表达能力，社交能力强；</w:t>
      </w:r>
    </w:p>
    <w:p>
      <w:pPr>
        <w:spacing w:line="540" w:lineRule="exact"/>
        <w:ind w:firstLine="480" w:firstLineChars="200"/>
        <w:rPr>
          <w:rFonts w:hint="eastAsia" w:ascii="宋体" w:hAnsi="宋体"/>
          <w:sz w:val="24"/>
        </w:rPr>
      </w:pPr>
      <w:r>
        <w:rPr>
          <w:rFonts w:hint="eastAsia" w:ascii="宋体" w:hAnsi="宋体"/>
          <w:sz w:val="24"/>
        </w:rPr>
        <w:t>4、原则上申报者应交齐学校要求的各种费用方可报名；</w:t>
      </w:r>
    </w:p>
    <w:p>
      <w:pPr>
        <w:spacing w:line="540" w:lineRule="exact"/>
        <w:ind w:firstLine="480" w:firstLineChars="200"/>
        <w:rPr>
          <w:rFonts w:hint="eastAsia" w:ascii="宋体" w:hAnsi="宋体"/>
          <w:sz w:val="24"/>
        </w:rPr>
      </w:pPr>
      <w:r>
        <w:rPr>
          <w:rFonts w:hint="eastAsia" w:ascii="宋体" w:hAnsi="宋体"/>
          <w:sz w:val="24"/>
        </w:rPr>
        <w:t>5、有其他特殊贡献者。</w:t>
      </w:r>
    </w:p>
    <w:p>
      <w:pPr>
        <w:pStyle w:val="2"/>
        <w:tabs>
          <w:tab w:val="left" w:pos="0"/>
        </w:tabs>
        <w:spacing w:line="540" w:lineRule="exact"/>
        <w:ind w:firstLine="480"/>
        <w:rPr>
          <w:rFonts w:hint="eastAsia"/>
          <w:sz w:val="24"/>
        </w:rPr>
      </w:pPr>
      <w:r>
        <w:rPr>
          <w:rFonts w:hint="eastAsia"/>
          <w:sz w:val="24"/>
        </w:rPr>
        <w:t>三、开班时间</w:t>
      </w:r>
    </w:p>
    <w:p>
      <w:pPr>
        <w:pStyle w:val="2"/>
        <w:tabs>
          <w:tab w:val="left" w:pos="0"/>
        </w:tabs>
        <w:spacing w:line="540" w:lineRule="exact"/>
        <w:ind w:firstLine="480"/>
        <w:rPr>
          <w:rFonts w:hint="eastAsia"/>
          <w:sz w:val="24"/>
        </w:rPr>
      </w:pPr>
      <w:r>
        <w:rPr>
          <w:rFonts w:hint="eastAsia"/>
          <w:sz w:val="24"/>
        </w:rPr>
        <w:t>2018—2019学年第一学期。</w:t>
      </w:r>
    </w:p>
    <w:p>
      <w:pPr>
        <w:spacing w:line="540" w:lineRule="exact"/>
        <w:ind w:firstLine="480" w:firstLineChars="200"/>
        <w:rPr>
          <w:rFonts w:hint="eastAsia" w:ascii="宋体" w:hAnsi="宋体"/>
          <w:bCs/>
          <w:sz w:val="24"/>
        </w:rPr>
      </w:pPr>
      <w:r>
        <w:rPr>
          <w:rFonts w:hint="eastAsia" w:ascii="宋体" w:hAnsi="宋体"/>
          <w:sz w:val="24"/>
        </w:rPr>
        <w:t>四、</w:t>
      </w:r>
      <w:r>
        <w:rPr>
          <w:rFonts w:hint="eastAsia" w:ascii="宋体" w:hAnsi="宋体"/>
          <w:bCs/>
          <w:sz w:val="24"/>
        </w:rPr>
        <w:t>学制、专业及分流淘汰</w:t>
      </w:r>
    </w:p>
    <w:p>
      <w:pPr>
        <w:spacing w:line="540" w:lineRule="exact"/>
        <w:ind w:firstLine="480" w:firstLineChars="200"/>
        <w:rPr>
          <w:rFonts w:hint="eastAsia" w:ascii="宋体" w:hAnsi="宋体"/>
          <w:sz w:val="24"/>
        </w:rPr>
      </w:pPr>
      <w:r>
        <w:rPr>
          <w:rFonts w:hint="eastAsia" w:ascii="宋体" w:hAnsi="宋体"/>
          <w:sz w:val="24"/>
        </w:rPr>
        <w:t>总学制四年，前2个学期在原专业学习，后6个学期进入实验班学习，执行实验班培养计划。</w:t>
      </w:r>
    </w:p>
    <w:p>
      <w:pPr>
        <w:pStyle w:val="2"/>
        <w:tabs>
          <w:tab w:val="left" w:pos="0"/>
        </w:tabs>
        <w:spacing w:line="540" w:lineRule="exact"/>
        <w:ind w:firstLine="480"/>
        <w:rPr>
          <w:rFonts w:hint="eastAsia"/>
          <w:sz w:val="24"/>
        </w:rPr>
      </w:pPr>
      <w:r>
        <w:rPr>
          <w:rFonts w:hint="eastAsia"/>
          <w:sz w:val="24"/>
        </w:rPr>
        <w:t>按照“西安工业大学学籍管理规定”，对于毕业符合条件者颁发自动化专业毕业证书及工学学士学位证书，同时颁发学校教改实验学院实验班合格证书。</w:t>
      </w:r>
    </w:p>
    <w:p>
      <w:pPr>
        <w:pStyle w:val="2"/>
        <w:tabs>
          <w:tab w:val="left" w:pos="0"/>
        </w:tabs>
        <w:spacing w:line="540" w:lineRule="exact"/>
        <w:ind w:firstLine="480"/>
        <w:rPr>
          <w:rFonts w:hint="eastAsia"/>
          <w:sz w:val="24"/>
        </w:rPr>
      </w:pPr>
      <w:r>
        <w:rPr>
          <w:rFonts w:hint="eastAsia"/>
          <w:sz w:val="24"/>
        </w:rPr>
        <w:t>建立分流淘汰机制，培养期间将根据学生具体学习（工作）情况，对达不到实验班学习、培养要求的学生采取退班（退回原专业班级）、降级等处理，确保实验班的培养效果。</w:t>
      </w:r>
    </w:p>
    <w:p>
      <w:pPr>
        <w:spacing w:line="540" w:lineRule="exact"/>
        <w:ind w:firstLine="480" w:firstLineChars="200"/>
        <w:rPr>
          <w:rFonts w:hint="eastAsia" w:ascii="宋体" w:hAnsi="宋体"/>
          <w:bCs/>
          <w:sz w:val="24"/>
        </w:rPr>
      </w:pPr>
      <w:r>
        <w:rPr>
          <w:rFonts w:hint="eastAsia" w:ascii="宋体" w:hAnsi="宋体"/>
          <w:bCs/>
          <w:sz w:val="24"/>
        </w:rPr>
        <w:t>五、课程设置</w:t>
      </w:r>
    </w:p>
    <w:p>
      <w:pPr>
        <w:spacing w:line="540" w:lineRule="exact"/>
        <w:ind w:firstLine="482" w:firstLineChars="200"/>
        <w:rPr>
          <w:rFonts w:hint="eastAsia" w:ascii="宋体" w:hAnsi="宋体"/>
          <w:b/>
          <w:bCs/>
          <w:sz w:val="24"/>
        </w:rPr>
      </w:pPr>
      <w:r>
        <w:rPr>
          <w:rFonts w:hint="eastAsia" w:ascii="宋体" w:hAnsi="宋体"/>
          <w:b/>
          <w:bCs/>
          <w:sz w:val="24"/>
        </w:rPr>
        <w:t>1、核心课程</w:t>
      </w:r>
    </w:p>
    <w:p>
      <w:pPr>
        <w:spacing w:line="540" w:lineRule="exact"/>
        <w:ind w:firstLine="480" w:firstLineChars="200"/>
        <w:rPr>
          <w:rFonts w:hint="eastAsia" w:ascii="宋体" w:hAnsi="宋体"/>
          <w:sz w:val="24"/>
        </w:rPr>
      </w:pPr>
      <w:r>
        <w:rPr>
          <w:rFonts w:hint="eastAsia" w:ascii="宋体" w:hAnsi="宋体"/>
          <w:sz w:val="24"/>
        </w:rPr>
        <w:t>电路分析、数字电子技术基础、模拟电子技术、电机拖动基础、自动控制理论、微机原理及单片机应用、自动检测技术、电力电子技术、微机控制技术、自动化仪表与过程控制系统、现场总线技术。</w:t>
      </w:r>
    </w:p>
    <w:p>
      <w:pPr>
        <w:spacing w:line="540" w:lineRule="exact"/>
        <w:ind w:firstLine="482" w:firstLineChars="200"/>
        <w:rPr>
          <w:rFonts w:hint="eastAsia" w:ascii="宋体" w:hAnsi="宋体"/>
          <w:b/>
          <w:sz w:val="24"/>
        </w:rPr>
      </w:pPr>
      <w:r>
        <w:rPr>
          <w:rFonts w:hint="eastAsia" w:ascii="宋体" w:hAnsi="宋体"/>
          <w:b/>
          <w:sz w:val="24"/>
        </w:rPr>
        <w:t>2、主要实践教学训练环节</w:t>
      </w:r>
    </w:p>
    <w:p>
      <w:pPr>
        <w:spacing w:line="540" w:lineRule="exact"/>
        <w:ind w:firstLine="480" w:firstLineChars="200"/>
        <w:rPr>
          <w:rFonts w:hint="eastAsia" w:ascii="宋体" w:hAnsi="宋体"/>
          <w:sz w:val="24"/>
        </w:rPr>
      </w:pPr>
      <w:r>
        <w:rPr>
          <w:rFonts w:hint="eastAsia" w:ascii="宋体" w:hAnsi="宋体"/>
          <w:sz w:val="24"/>
        </w:rPr>
        <w:t>主要实践教学训练环节包括电类基础课程实验、专业基础课程实验、专业课程实验、电子技术综合课程设计、过程控制系统课程设计、虚拟商业创新创业实训，理科创新思维实训，人文素养实训、智能制造创新创业实训、自动化创新创业基础训练、导师制工程项目实践、综合控制系统工程设计（嵌入式控制系统项目实训）、金工实习、电装实习、企业实践、毕业设计等。</w:t>
      </w:r>
    </w:p>
    <w:p>
      <w:pPr>
        <w:spacing w:line="540" w:lineRule="exact"/>
        <w:ind w:firstLine="480" w:firstLineChars="200"/>
        <w:rPr>
          <w:rFonts w:hint="eastAsia" w:ascii="宋体" w:hAnsi="宋体"/>
          <w:sz w:val="24"/>
        </w:rPr>
      </w:pPr>
      <w:r>
        <w:rPr>
          <w:rFonts w:hint="eastAsia" w:ascii="宋体" w:hAnsi="宋体"/>
          <w:sz w:val="24"/>
        </w:rPr>
        <w:t>其中，企业实践分成两个阶段，企业实践I主要安排在第六学期，让学生到各校企合作企业去，完成对各种工业自动化设备及系统的认知教育，是学生初步具备工业自动化设备及系统的概念；企业实践II安排在第七学期之前完成，重在提高学生对自动化设备及系统的设计及实践能力。在此基础上，在第八学期进行企业毕业设计环节，由相关合作企业提供毕业设计课题，由企业导师和校内导师共同指导完成毕业设计题目，学生进入企业进行与企业需求与工程结合紧密的课题研究与设计，进一步增强学生的工程实践动手能力。</w:t>
      </w:r>
    </w:p>
    <w:p>
      <w:pPr>
        <w:spacing w:line="540" w:lineRule="exact"/>
        <w:ind w:firstLine="480" w:firstLineChars="200"/>
        <w:rPr>
          <w:rFonts w:hint="eastAsia" w:ascii="宋体" w:hAnsi="宋体"/>
          <w:sz w:val="24"/>
        </w:rPr>
      </w:pPr>
      <w:r>
        <w:rPr>
          <w:rFonts w:hint="eastAsia" w:ascii="宋体" w:hAnsi="宋体"/>
          <w:sz w:val="24"/>
        </w:rPr>
        <w:t>通过校内外实训环节，学生在企业导师、校内导师指导下，利用开放实验室、校内科研基地、合作企业进行个性化科研实训培养（含各类竞赛等），将学生参与实训活动贯穿于整个专业基础教育和专业教育全过程，同时，通过项目驱动方式，安排学生参与导师或企业实际工程项目，开展科研训练，提高学生的工程实践能力、团队协作能力，实现校内培养、企业实践、就业等环节的高度连续性。</w:t>
      </w:r>
    </w:p>
    <w:p>
      <w:pPr>
        <w:spacing w:line="540" w:lineRule="exact"/>
        <w:ind w:firstLine="480" w:firstLineChars="200"/>
        <w:rPr>
          <w:rFonts w:hint="eastAsia" w:ascii="宋体" w:hAnsi="宋体"/>
          <w:bCs/>
          <w:sz w:val="24"/>
        </w:rPr>
      </w:pPr>
      <w:r>
        <w:rPr>
          <w:rFonts w:hint="eastAsia" w:ascii="宋体" w:hAnsi="宋体"/>
          <w:sz w:val="24"/>
        </w:rPr>
        <w:t>六、</w:t>
      </w:r>
      <w:r>
        <w:rPr>
          <w:rFonts w:hint="eastAsia" w:ascii="宋体" w:hAnsi="宋体"/>
          <w:bCs/>
          <w:sz w:val="24"/>
        </w:rPr>
        <w:t>宣讲</w:t>
      </w:r>
    </w:p>
    <w:p>
      <w:pPr>
        <w:spacing w:line="540" w:lineRule="exact"/>
        <w:ind w:firstLine="480" w:firstLineChars="200"/>
        <w:rPr>
          <w:rFonts w:hint="eastAsia" w:ascii="宋体" w:hAnsi="宋体"/>
          <w:sz w:val="24"/>
        </w:rPr>
      </w:pPr>
      <w:r>
        <w:rPr>
          <w:rFonts w:hint="eastAsia" w:ascii="宋体" w:hAnsi="宋体"/>
          <w:sz w:val="24"/>
        </w:rPr>
        <w:t>为使学生更好的了解“自动化系统卓越工程师”的情况，特安排专题宣讲。</w:t>
      </w:r>
    </w:p>
    <w:p>
      <w:pPr>
        <w:spacing w:line="540" w:lineRule="exact"/>
        <w:ind w:firstLine="480" w:firstLineChars="200"/>
        <w:rPr>
          <w:rFonts w:hint="eastAsia" w:ascii="宋体" w:hAnsi="宋体"/>
          <w:sz w:val="24"/>
        </w:rPr>
      </w:pPr>
      <w:r>
        <w:rPr>
          <w:rFonts w:hint="eastAsia" w:ascii="宋体" w:hAnsi="宋体"/>
          <w:sz w:val="24"/>
        </w:rPr>
        <w:t>专题宣讲时间：2018年7月12日（周四）16:00。</w:t>
      </w:r>
    </w:p>
    <w:p>
      <w:pPr>
        <w:spacing w:line="540" w:lineRule="exact"/>
        <w:ind w:firstLine="480" w:firstLineChars="200"/>
        <w:rPr>
          <w:rFonts w:hint="eastAsia" w:ascii="宋体" w:hAnsi="宋体"/>
          <w:color w:val="000000"/>
          <w:sz w:val="24"/>
        </w:rPr>
      </w:pPr>
      <w:r>
        <w:rPr>
          <w:rFonts w:hint="eastAsia" w:ascii="宋体" w:hAnsi="宋体"/>
          <w:sz w:val="24"/>
        </w:rPr>
        <w:t>宣讲地点：</w:t>
      </w:r>
      <w:r>
        <w:rPr>
          <w:rFonts w:hint="eastAsia" w:ascii="宋体" w:hAnsi="宋体"/>
          <w:color w:val="000000"/>
          <w:sz w:val="24"/>
        </w:rPr>
        <w:t>工5-406。</w:t>
      </w:r>
    </w:p>
    <w:p>
      <w:pPr>
        <w:spacing w:line="540" w:lineRule="exact"/>
        <w:ind w:firstLine="480" w:firstLineChars="200"/>
        <w:rPr>
          <w:rFonts w:hint="eastAsia" w:ascii="宋体" w:hAnsi="宋体"/>
          <w:bCs/>
          <w:color w:val="000000"/>
          <w:sz w:val="24"/>
        </w:rPr>
      </w:pPr>
      <w:r>
        <w:rPr>
          <w:rFonts w:hint="eastAsia" w:ascii="宋体" w:hAnsi="宋体"/>
          <w:bCs/>
          <w:color w:val="000000"/>
          <w:sz w:val="24"/>
        </w:rPr>
        <w:t>七、报名</w:t>
      </w:r>
    </w:p>
    <w:p>
      <w:pPr>
        <w:spacing w:line="540" w:lineRule="exact"/>
        <w:ind w:firstLine="480" w:firstLineChars="200"/>
        <w:rPr>
          <w:rFonts w:hint="eastAsia" w:ascii="宋体" w:hAnsi="宋体"/>
          <w:color w:val="000000"/>
          <w:sz w:val="24"/>
        </w:rPr>
      </w:pPr>
      <w:r>
        <w:rPr>
          <w:rFonts w:hint="eastAsia" w:ascii="宋体" w:hAnsi="宋体"/>
          <w:color w:val="000000"/>
          <w:sz w:val="24"/>
        </w:rPr>
        <w:t>1、请报名的同学将1张一寸免冠相片，贴于“申请表”上，并提交纸质、电子版《申请表》各一份，电子版请发至</w:t>
      </w:r>
      <w:r>
        <w:rPr>
          <w:rFonts w:ascii="宋体" w:hAnsi="宋体"/>
          <w:sz w:val="24"/>
        </w:rPr>
        <w:t>837254532@qq.com</w:t>
      </w:r>
      <w:r>
        <w:rPr>
          <w:rFonts w:hint="eastAsia" w:ascii="宋体" w:hAnsi="宋体"/>
          <w:color w:val="000000"/>
          <w:sz w:val="24"/>
        </w:rPr>
        <w:t>。报名时请附学籍成绩单。</w:t>
      </w:r>
    </w:p>
    <w:p>
      <w:pPr>
        <w:pStyle w:val="5"/>
        <w:spacing w:line="540" w:lineRule="exact"/>
        <w:ind w:firstLine="480" w:firstLineChars="200"/>
        <w:rPr>
          <w:rFonts w:hint="eastAsia" w:ascii="宋体" w:hAnsi="宋体"/>
          <w:color w:val="000000"/>
          <w:szCs w:val="24"/>
        </w:rPr>
      </w:pPr>
      <w:r>
        <w:rPr>
          <w:rFonts w:hint="eastAsia" w:ascii="宋体" w:hAnsi="宋体"/>
          <w:color w:val="000000"/>
          <w:szCs w:val="24"/>
        </w:rPr>
        <w:t>2、报名时间：2018年7月14日—7月19日</w:t>
      </w:r>
    </w:p>
    <w:p>
      <w:pPr>
        <w:pStyle w:val="5"/>
        <w:spacing w:line="540" w:lineRule="exact"/>
        <w:ind w:firstLine="480" w:firstLineChars="200"/>
        <w:rPr>
          <w:rFonts w:hint="eastAsia" w:ascii="宋体" w:hAnsi="宋体"/>
          <w:color w:val="000000"/>
          <w:szCs w:val="24"/>
        </w:rPr>
      </w:pPr>
      <w:r>
        <w:rPr>
          <w:rFonts w:hint="eastAsia" w:ascii="宋体" w:hAnsi="宋体"/>
          <w:color w:val="000000"/>
          <w:szCs w:val="24"/>
        </w:rPr>
        <w:t>地点：电子信息工程学院学生办公室（工5-407）</w:t>
      </w:r>
    </w:p>
    <w:p>
      <w:pPr>
        <w:spacing w:line="540" w:lineRule="exact"/>
        <w:ind w:firstLine="480" w:firstLineChars="200"/>
        <w:rPr>
          <w:rFonts w:hint="eastAsia" w:ascii="宋体" w:hAnsi="宋体"/>
          <w:color w:val="000000"/>
          <w:sz w:val="24"/>
        </w:rPr>
      </w:pPr>
      <w:r>
        <w:rPr>
          <w:rFonts w:hint="eastAsia" w:ascii="宋体" w:hAnsi="宋体"/>
          <w:color w:val="000000"/>
          <w:sz w:val="24"/>
        </w:rPr>
        <w:t>3、联系人：夏开成</w:t>
      </w:r>
    </w:p>
    <w:p>
      <w:pPr>
        <w:spacing w:line="540" w:lineRule="exact"/>
        <w:ind w:firstLine="480" w:firstLineChars="200"/>
        <w:rPr>
          <w:rFonts w:hint="eastAsia" w:ascii="宋体" w:hAnsi="宋体"/>
          <w:color w:val="000000"/>
          <w:sz w:val="24"/>
        </w:rPr>
      </w:pPr>
      <w:r>
        <w:rPr>
          <w:rFonts w:hint="eastAsia" w:ascii="宋体" w:hAnsi="宋体"/>
          <w:color w:val="000000"/>
          <w:sz w:val="24"/>
        </w:rPr>
        <w:t>电话：</w:t>
      </w:r>
      <w:r>
        <w:rPr>
          <w:rFonts w:ascii="宋体" w:hAnsi="宋体" w:cs="宋体"/>
          <w:color w:val="000000"/>
          <w:sz w:val="24"/>
        </w:rPr>
        <w:t>18706862246</w:t>
      </w:r>
    </w:p>
    <w:p>
      <w:pPr>
        <w:spacing w:line="540" w:lineRule="exact"/>
        <w:ind w:firstLine="480" w:firstLineChars="200"/>
        <w:rPr>
          <w:rFonts w:hint="eastAsia" w:ascii="宋体" w:hAnsi="宋体"/>
          <w:bCs/>
          <w:sz w:val="24"/>
        </w:rPr>
      </w:pPr>
      <w:r>
        <w:rPr>
          <w:rFonts w:hint="eastAsia" w:ascii="宋体" w:hAnsi="宋体"/>
          <w:bCs/>
          <w:sz w:val="24"/>
        </w:rPr>
        <w:t>八、面试与录取</w:t>
      </w:r>
    </w:p>
    <w:p>
      <w:pPr>
        <w:spacing w:line="540" w:lineRule="exact"/>
        <w:ind w:firstLine="480" w:firstLineChars="200"/>
        <w:rPr>
          <w:rFonts w:hint="eastAsia" w:ascii="宋体" w:hAnsi="宋体"/>
          <w:sz w:val="32"/>
          <w:szCs w:val="32"/>
        </w:rPr>
      </w:pPr>
      <w:r>
        <w:rPr>
          <w:rFonts w:hint="eastAsia" w:ascii="宋体" w:hAnsi="宋体"/>
          <w:sz w:val="24"/>
        </w:rPr>
        <w:t>面试与录取事宜另行通知。</w:t>
      </w:r>
    </w:p>
    <w:p>
      <w:pPr>
        <w:spacing w:line="540" w:lineRule="exact"/>
        <w:ind w:firstLine="640" w:firstLineChars="200"/>
        <w:rPr>
          <w:rFonts w:hint="eastAsia" w:ascii="仿宋_GB2312" w:eastAsia="仿宋_GB2312"/>
          <w:sz w:val="32"/>
          <w:szCs w:val="32"/>
        </w:rPr>
        <w:sectPr>
          <w:pgSz w:w="11906" w:h="16838"/>
          <w:pgMar w:top="2098" w:right="1474" w:bottom="1985" w:left="1588" w:header="851" w:footer="992" w:gutter="0"/>
          <w:cols w:space="720" w:num="1"/>
          <w:docGrid w:type="lines" w:linePitch="312" w:charSpace="0"/>
        </w:sectPr>
      </w:pPr>
    </w:p>
    <w:p>
      <w:pPr>
        <w:spacing w:line="360" w:lineRule="auto"/>
        <w:jc w:val="center"/>
        <w:rPr>
          <w:rFonts w:hint="eastAsia" w:ascii="黑体" w:eastAsia="黑体"/>
          <w:b/>
          <w:sz w:val="36"/>
          <w:szCs w:val="36"/>
        </w:rPr>
      </w:pPr>
      <w:r>
        <w:rPr>
          <w:rFonts w:hint="eastAsia" w:ascii="黑体" w:eastAsia="黑体"/>
          <w:b/>
          <w:sz w:val="36"/>
          <w:szCs w:val="36"/>
        </w:rPr>
        <w:t>西安工业大学电子信息工程学院</w:t>
      </w:r>
    </w:p>
    <w:p>
      <w:pPr>
        <w:spacing w:line="360" w:lineRule="auto"/>
        <w:jc w:val="center"/>
        <w:rPr>
          <w:rFonts w:hint="eastAsia" w:eastAsia="楷体_GB2312"/>
          <w:b/>
          <w:sz w:val="36"/>
          <w:szCs w:val="30"/>
        </w:rPr>
      </w:pPr>
      <w:r>
        <w:rPr>
          <w:rFonts w:hint="eastAsia" w:ascii="黑体" w:eastAsia="黑体"/>
          <w:b/>
          <w:sz w:val="36"/>
          <w:szCs w:val="30"/>
        </w:rPr>
        <w:t>2017级自动化专业卓越工程师实验班</w:t>
      </w:r>
      <w:r>
        <w:rPr>
          <w:rFonts w:hint="eastAsia" w:ascii="黑体" w:eastAsia="黑体"/>
          <w:b/>
          <w:bCs/>
          <w:sz w:val="36"/>
        </w:rPr>
        <w:t>申请表</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009"/>
        <w:gridCol w:w="842"/>
        <w:gridCol w:w="156"/>
        <w:gridCol w:w="573"/>
        <w:gridCol w:w="507"/>
        <w:gridCol w:w="757"/>
        <w:gridCol w:w="38"/>
        <w:gridCol w:w="13"/>
        <w:gridCol w:w="1224"/>
        <w:gridCol w:w="112"/>
        <w:gridCol w:w="7"/>
        <w:gridCol w:w="974"/>
        <w:gridCol w:w="612"/>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1365" w:type="dxa"/>
            <w:vAlign w:val="center"/>
          </w:tcPr>
          <w:p>
            <w:pPr>
              <w:tabs>
                <w:tab w:val="left" w:pos="1080"/>
              </w:tabs>
              <w:jc w:val="center"/>
              <w:rPr>
                <w:rFonts w:hint="eastAsia" w:eastAsia="黑体"/>
                <w:color w:val="000000"/>
                <w:sz w:val="24"/>
              </w:rPr>
            </w:pPr>
            <w:r>
              <w:rPr>
                <w:rFonts w:hint="eastAsia" w:eastAsia="黑体"/>
                <w:color w:val="000000"/>
                <w:sz w:val="24"/>
              </w:rPr>
              <w:t>学生姓名</w:t>
            </w:r>
          </w:p>
        </w:tc>
        <w:tc>
          <w:tcPr>
            <w:tcW w:w="1851" w:type="dxa"/>
            <w:gridSpan w:val="2"/>
            <w:vAlign w:val="center"/>
          </w:tcPr>
          <w:p>
            <w:pPr>
              <w:tabs>
                <w:tab w:val="left" w:pos="1080"/>
              </w:tabs>
              <w:spacing w:line="360" w:lineRule="auto"/>
              <w:ind w:firstLine="153" w:firstLineChars="64"/>
              <w:jc w:val="center"/>
              <w:rPr>
                <w:rFonts w:hint="eastAsia" w:eastAsia="黑体"/>
                <w:color w:val="000000"/>
                <w:sz w:val="24"/>
              </w:rPr>
            </w:pPr>
          </w:p>
        </w:tc>
        <w:tc>
          <w:tcPr>
            <w:tcW w:w="729" w:type="dxa"/>
            <w:gridSpan w:val="2"/>
            <w:vAlign w:val="center"/>
          </w:tcPr>
          <w:p>
            <w:pPr>
              <w:tabs>
                <w:tab w:val="left" w:pos="1080"/>
              </w:tabs>
              <w:spacing w:line="360" w:lineRule="auto"/>
              <w:jc w:val="center"/>
              <w:rPr>
                <w:rFonts w:hint="eastAsia" w:eastAsia="黑体"/>
                <w:color w:val="000000"/>
                <w:sz w:val="24"/>
              </w:rPr>
            </w:pPr>
            <w:r>
              <w:rPr>
                <w:rFonts w:hint="eastAsia" w:eastAsia="黑体"/>
                <w:sz w:val="24"/>
              </w:rPr>
              <w:t>性别</w:t>
            </w:r>
          </w:p>
        </w:tc>
        <w:tc>
          <w:tcPr>
            <w:tcW w:w="1264" w:type="dxa"/>
            <w:gridSpan w:val="2"/>
            <w:vAlign w:val="center"/>
          </w:tcPr>
          <w:p>
            <w:pPr>
              <w:tabs>
                <w:tab w:val="left" w:pos="1080"/>
              </w:tabs>
              <w:spacing w:line="360" w:lineRule="auto"/>
              <w:ind w:firstLine="153" w:firstLineChars="64"/>
              <w:jc w:val="center"/>
              <w:rPr>
                <w:rFonts w:hint="eastAsia" w:eastAsia="黑体"/>
                <w:color w:val="000000"/>
                <w:sz w:val="24"/>
              </w:rPr>
            </w:pPr>
          </w:p>
        </w:tc>
        <w:tc>
          <w:tcPr>
            <w:tcW w:w="1275" w:type="dxa"/>
            <w:gridSpan w:val="3"/>
            <w:vAlign w:val="center"/>
          </w:tcPr>
          <w:p>
            <w:pPr>
              <w:tabs>
                <w:tab w:val="left" w:pos="1080"/>
              </w:tabs>
              <w:spacing w:line="360" w:lineRule="auto"/>
              <w:jc w:val="center"/>
              <w:rPr>
                <w:rFonts w:hint="eastAsia" w:ascii="黑体" w:eastAsia="黑体"/>
                <w:color w:val="000000"/>
                <w:sz w:val="24"/>
              </w:rPr>
            </w:pPr>
            <w:r>
              <w:rPr>
                <w:rFonts w:hint="eastAsia" w:ascii="黑体" w:eastAsia="黑体"/>
                <w:sz w:val="24"/>
              </w:rPr>
              <w:t>出生年月</w:t>
            </w:r>
          </w:p>
        </w:tc>
        <w:tc>
          <w:tcPr>
            <w:tcW w:w="1093" w:type="dxa"/>
            <w:gridSpan w:val="3"/>
            <w:vAlign w:val="center"/>
          </w:tcPr>
          <w:p>
            <w:pPr>
              <w:tabs>
                <w:tab w:val="left" w:pos="1080"/>
              </w:tabs>
              <w:spacing w:line="360" w:lineRule="auto"/>
              <w:ind w:firstLine="153" w:firstLineChars="64"/>
              <w:jc w:val="center"/>
              <w:rPr>
                <w:rFonts w:hint="eastAsia" w:ascii="黑体" w:eastAsia="黑体"/>
                <w:color w:val="000000"/>
                <w:sz w:val="24"/>
              </w:rPr>
            </w:pPr>
          </w:p>
        </w:tc>
        <w:tc>
          <w:tcPr>
            <w:tcW w:w="1711" w:type="dxa"/>
            <w:gridSpan w:val="2"/>
            <w:vMerge w:val="restart"/>
            <w:vAlign w:val="center"/>
          </w:tcPr>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照片</w:t>
            </w:r>
          </w:p>
          <w:p>
            <w:pPr>
              <w:jc w:val="center"/>
              <w:rPr>
                <w:rFonts w:hint="eastAsia" w:eastAsia="楷体_GB2312"/>
                <w:sz w:val="24"/>
              </w:rPr>
            </w:pPr>
            <w:r>
              <w:rPr>
                <w:rFonts w:hint="eastAsia" w:ascii="黑体" w:eastAsia="黑体"/>
                <w:sz w:val="24"/>
              </w:rPr>
              <w:t>（1寸</w:t>
            </w:r>
            <w:r>
              <w:rPr>
                <w:rFonts w:hint="eastAsia"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365" w:type="dxa"/>
            <w:vAlign w:val="center"/>
          </w:tcPr>
          <w:p>
            <w:pPr>
              <w:jc w:val="center"/>
              <w:rPr>
                <w:rFonts w:hint="eastAsia" w:eastAsia="黑体"/>
                <w:sz w:val="24"/>
              </w:rPr>
            </w:pPr>
            <w:r>
              <w:rPr>
                <w:rFonts w:hint="eastAsia" w:eastAsia="黑体"/>
                <w:sz w:val="24"/>
              </w:rPr>
              <w:t>所在院系</w:t>
            </w:r>
          </w:p>
        </w:tc>
        <w:tc>
          <w:tcPr>
            <w:tcW w:w="1851" w:type="dxa"/>
            <w:gridSpan w:val="2"/>
            <w:vAlign w:val="center"/>
          </w:tcPr>
          <w:p>
            <w:pPr>
              <w:jc w:val="center"/>
              <w:rPr>
                <w:rFonts w:hint="eastAsia" w:eastAsia="黑体"/>
                <w:sz w:val="24"/>
              </w:rPr>
            </w:pPr>
          </w:p>
        </w:tc>
        <w:tc>
          <w:tcPr>
            <w:tcW w:w="729" w:type="dxa"/>
            <w:gridSpan w:val="2"/>
            <w:vMerge w:val="restart"/>
            <w:vAlign w:val="center"/>
          </w:tcPr>
          <w:p>
            <w:pPr>
              <w:jc w:val="center"/>
              <w:rPr>
                <w:rFonts w:hint="eastAsia" w:eastAsia="黑体"/>
                <w:sz w:val="24"/>
              </w:rPr>
            </w:pPr>
            <w:r>
              <w:rPr>
                <w:rFonts w:hint="eastAsia" w:eastAsia="黑体"/>
                <w:sz w:val="24"/>
              </w:rPr>
              <w:t>学号</w:t>
            </w:r>
          </w:p>
        </w:tc>
        <w:tc>
          <w:tcPr>
            <w:tcW w:w="1264" w:type="dxa"/>
            <w:gridSpan w:val="2"/>
            <w:vMerge w:val="restart"/>
            <w:vAlign w:val="center"/>
          </w:tcPr>
          <w:p>
            <w:pPr>
              <w:jc w:val="center"/>
              <w:rPr>
                <w:rFonts w:hint="eastAsia" w:eastAsia="黑体"/>
                <w:sz w:val="24"/>
              </w:rPr>
            </w:pPr>
          </w:p>
        </w:tc>
        <w:tc>
          <w:tcPr>
            <w:tcW w:w="1275" w:type="dxa"/>
            <w:gridSpan w:val="3"/>
            <w:vMerge w:val="restart"/>
            <w:vAlign w:val="center"/>
          </w:tcPr>
          <w:p>
            <w:pPr>
              <w:jc w:val="center"/>
              <w:rPr>
                <w:rFonts w:hint="eastAsia" w:ascii="黑体" w:eastAsia="黑体"/>
                <w:sz w:val="24"/>
              </w:rPr>
            </w:pPr>
            <w:r>
              <w:rPr>
                <w:rFonts w:hint="eastAsia" w:ascii="黑体" w:eastAsia="黑体"/>
                <w:sz w:val="24"/>
              </w:rPr>
              <w:t>联系电话</w:t>
            </w:r>
          </w:p>
        </w:tc>
        <w:tc>
          <w:tcPr>
            <w:tcW w:w="1093" w:type="dxa"/>
            <w:gridSpan w:val="3"/>
            <w:vMerge w:val="restart"/>
            <w:vAlign w:val="center"/>
          </w:tcPr>
          <w:p>
            <w:pPr>
              <w:jc w:val="center"/>
              <w:rPr>
                <w:rFonts w:hint="eastAsia" w:ascii="黑体" w:eastAsia="黑体"/>
                <w:sz w:val="24"/>
              </w:rPr>
            </w:pPr>
          </w:p>
        </w:tc>
        <w:tc>
          <w:tcPr>
            <w:tcW w:w="1711" w:type="dxa"/>
            <w:gridSpan w:val="2"/>
            <w:vMerge w:val="continue"/>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365" w:type="dxa"/>
            <w:vAlign w:val="center"/>
          </w:tcPr>
          <w:p>
            <w:pPr>
              <w:jc w:val="center"/>
              <w:rPr>
                <w:rFonts w:hint="eastAsia" w:eastAsia="黑体"/>
                <w:sz w:val="24"/>
              </w:rPr>
            </w:pPr>
            <w:r>
              <w:rPr>
                <w:rFonts w:hint="eastAsia" w:eastAsia="黑体"/>
                <w:sz w:val="24"/>
              </w:rPr>
              <w:t>所学专业</w:t>
            </w:r>
          </w:p>
        </w:tc>
        <w:tc>
          <w:tcPr>
            <w:tcW w:w="1851" w:type="dxa"/>
            <w:gridSpan w:val="2"/>
            <w:vAlign w:val="center"/>
          </w:tcPr>
          <w:p>
            <w:pPr>
              <w:jc w:val="center"/>
              <w:rPr>
                <w:rFonts w:hint="eastAsia" w:eastAsia="黑体"/>
                <w:sz w:val="24"/>
              </w:rPr>
            </w:pPr>
          </w:p>
        </w:tc>
        <w:tc>
          <w:tcPr>
            <w:tcW w:w="729" w:type="dxa"/>
            <w:gridSpan w:val="2"/>
            <w:vMerge w:val="continue"/>
            <w:vAlign w:val="center"/>
          </w:tcPr>
          <w:p>
            <w:pPr>
              <w:jc w:val="center"/>
              <w:rPr>
                <w:rFonts w:hint="eastAsia" w:eastAsia="黑体"/>
                <w:sz w:val="24"/>
              </w:rPr>
            </w:pPr>
          </w:p>
        </w:tc>
        <w:tc>
          <w:tcPr>
            <w:tcW w:w="1264" w:type="dxa"/>
            <w:gridSpan w:val="2"/>
            <w:vMerge w:val="continue"/>
            <w:vAlign w:val="center"/>
          </w:tcPr>
          <w:p>
            <w:pPr>
              <w:jc w:val="center"/>
              <w:rPr>
                <w:rFonts w:hint="eastAsia" w:eastAsia="黑体"/>
                <w:sz w:val="24"/>
              </w:rPr>
            </w:pPr>
          </w:p>
        </w:tc>
        <w:tc>
          <w:tcPr>
            <w:tcW w:w="1275" w:type="dxa"/>
            <w:gridSpan w:val="3"/>
            <w:vMerge w:val="continue"/>
            <w:vAlign w:val="center"/>
          </w:tcPr>
          <w:p>
            <w:pPr>
              <w:jc w:val="center"/>
              <w:rPr>
                <w:rFonts w:hint="eastAsia" w:ascii="黑体" w:eastAsia="黑体"/>
                <w:sz w:val="24"/>
              </w:rPr>
            </w:pPr>
          </w:p>
        </w:tc>
        <w:tc>
          <w:tcPr>
            <w:tcW w:w="1093" w:type="dxa"/>
            <w:gridSpan w:val="3"/>
            <w:vMerge w:val="continue"/>
            <w:vAlign w:val="center"/>
          </w:tcPr>
          <w:p>
            <w:pPr>
              <w:jc w:val="center"/>
              <w:rPr>
                <w:rFonts w:hint="eastAsia" w:ascii="黑体" w:eastAsia="黑体"/>
                <w:sz w:val="24"/>
              </w:rPr>
            </w:pPr>
          </w:p>
        </w:tc>
        <w:tc>
          <w:tcPr>
            <w:tcW w:w="1711" w:type="dxa"/>
            <w:gridSpan w:val="2"/>
            <w:vMerge w:val="continue"/>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365" w:type="dxa"/>
            <w:vAlign w:val="center"/>
          </w:tcPr>
          <w:p>
            <w:pPr>
              <w:jc w:val="center"/>
              <w:rPr>
                <w:rFonts w:hint="eastAsia" w:eastAsia="黑体"/>
                <w:sz w:val="24"/>
              </w:rPr>
            </w:pPr>
            <w:r>
              <w:rPr>
                <w:rFonts w:hint="eastAsia" w:eastAsia="黑体"/>
                <w:sz w:val="24"/>
              </w:rPr>
              <w:t>家长姓名</w:t>
            </w:r>
          </w:p>
        </w:tc>
        <w:tc>
          <w:tcPr>
            <w:tcW w:w="1851" w:type="dxa"/>
            <w:gridSpan w:val="2"/>
            <w:vAlign w:val="center"/>
          </w:tcPr>
          <w:p>
            <w:pPr>
              <w:jc w:val="center"/>
              <w:rPr>
                <w:rFonts w:hint="eastAsia" w:eastAsia="楷体_GB2312"/>
                <w:sz w:val="24"/>
              </w:rPr>
            </w:pPr>
          </w:p>
        </w:tc>
        <w:tc>
          <w:tcPr>
            <w:tcW w:w="1993" w:type="dxa"/>
            <w:gridSpan w:val="4"/>
            <w:vAlign w:val="center"/>
          </w:tcPr>
          <w:p>
            <w:pPr>
              <w:jc w:val="center"/>
              <w:rPr>
                <w:rFonts w:hint="eastAsia" w:eastAsia="黑体"/>
                <w:sz w:val="24"/>
              </w:rPr>
            </w:pPr>
            <w:r>
              <w:rPr>
                <w:rFonts w:hint="eastAsia" w:eastAsia="黑体"/>
                <w:sz w:val="24"/>
              </w:rPr>
              <w:t>家长联系方式</w:t>
            </w:r>
          </w:p>
        </w:tc>
        <w:tc>
          <w:tcPr>
            <w:tcW w:w="2368" w:type="dxa"/>
            <w:gridSpan w:val="6"/>
            <w:vAlign w:val="center"/>
          </w:tcPr>
          <w:p>
            <w:pPr>
              <w:jc w:val="center"/>
              <w:rPr>
                <w:rFonts w:hint="eastAsia" w:ascii="黑体" w:eastAsia="黑体"/>
                <w:sz w:val="24"/>
              </w:rPr>
            </w:pPr>
          </w:p>
        </w:tc>
        <w:tc>
          <w:tcPr>
            <w:tcW w:w="1711" w:type="dxa"/>
            <w:gridSpan w:val="2"/>
            <w:vMerge w:val="continue"/>
          </w:tcPr>
          <w:p>
            <w:pPr>
              <w:ind w:left="102"/>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1365" w:type="dxa"/>
            <w:tcBorders>
              <w:bottom w:val="single" w:color="auto" w:sz="4" w:space="0"/>
            </w:tcBorders>
            <w:vAlign w:val="center"/>
          </w:tcPr>
          <w:p>
            <w:pPr>
              <w:jc w:val="center"/>
              <w:rPr>
                <w:rFonts w:hint="eastAsia" w:eastAsia="黑体"/>
                <w:sz w:val="24"/>
              </w:rPr>
            </w:pPr>
            <w:r>
              <w:rPr>
                <w:rFonts w:hint="eastAsia" w:eastAsia="黑体"/>
                <w:sz w:val="24"/>
              </w:rPr>
              <w:t>家庭详细地址</w:t>
            </w:r>
          </w:p>
        </w:tc>
        <w:tc>
          <w:tcPr>
            <w:tcW w:w="7923" w:type="dxa"/>
            <w:gridSpan w:val="14"/>
            <w:tcBorders>
              <w:bottom w:val="single" w:color="auto" w:sz="4" w:space="0"/>
            </w:tcBorders>
          </w:tcPr>
          <w:p>
            <w:pPr>
              <w:rPr>
                <w:rFonts w:hint="eastAsia" w:eastAsia="楷体_GB2312"/>
                <w:sz w:val="24"/>
              </w:rPr>
            </w:pPr>
          </w:p>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1365" w:type="dxa"/>
            <w:vAlign w:val="center"/>
          </w:tcPr>
          <w:p>
            <w:pPr>
              <w:jc w:val="center"/>
              <w:rPr>
                <w:rFonts w:hint="eastAsia" w:eastAsia="黑体"/>
                <w:sz w:val="24"/>
              </w:rPr>
            </w:pPr>
            <w:r>
              <w:rPr>
                <w:rFonts w:hint="eastAsia" w:eastAsia="黑体"/>
                <w:sz w:val="24"/>
              </w:rPr>
              <w:t>高考生</w:t>
            </w:r>
          </w:p>
          <w:p>
            <w:pPr>
              <w:jc w:val="center"/>
              <w:rPr>
                <w:rFonts w:hint="eastAsia" w:eastAsia="楷体_GB2312"/>
                <w:sz w:val="24"/>
              </w:rPr>
            </w:pPr>
            <w:r>
              <w:rPr>
                <w:rFonts w:hint="eastAsia" w:eastAsia="黑体"/>
                <w:sz w:val="24"/>
              </w:rPr>
              <w:t>源地</w:t>
            </w:r>
          </w:p>
        </w:tc>
        <w:tc>
          <w:tcPr>
            <w:tcW w:w="1009" w:type="dxa"/>
            <w:vAlign w:val="center"/>
          </w:tcPr>
          <w:p>
            <w:pPr>
              <w:jc w:val="center"/>
              <w:rPr>
                <w:rFonts w:hint="eastAsia" w:eastAsia="楷体_GB2312"/>
                <w:sz w:val="24"/>
              </w:rPr>
            </w:pPr>
          </w:p>
        </w:tc>
        <w:tc>
          <w:tcPr>
            <w:tcW w:w="998" w:type="dxa"/>
            <w:gridSpan w:val="2"/>
            <w:vAlign w:val="center"/>
          </w:tcPr>
          <w:p>
            <w:pPr>
              <w:jc w:val="center"/>
              <w:rPr>
                <w:rFonts w:hint="eastAsia" w:eastAsia="黑体"/>
                <w:sz w:val="24"/>
              </w:rPr>
            </w:pPr>
            <w:r>
              <w:rPr>
                <w:rFonts w:hint="eastAsia" w:eastAsia="黑体"/>
                <w:sz w:val="24"/>
              </w:rPr>
              <w:t>高考</w:t>
            </w:r>
          </w:p>
          <w:p>
            <w:pPr>
              <w:jc w:val="center"/>
              <w:rPr>
                <w:rFonts w:hint="eastAsia" w:eastAsia="楷体_GB2312"/>
                <w:sz w:val="24"/>
              </w:rPr>
            </w:pPr>
            <w:r>
              <w:rPr>
                <w:rFonts w:hint="eastAsia" w:eastAsia="黑体"/>
                <w:sz w:val="24"/>
              </w:rPr>
              <w:t>成绩</w:t>
            </w:r>
          </w:p>
        </w:tc>
        <w:tc>
          <w:tcPr>
            <w:tcW w:w="1888" w:type="dxa"/>
            <w:gridSpan w:val="5"/>
            <w:vAlign w:val="center"/>
          </w:tcPr>
          <w:p>
            <w:pPr>
              <w:jc w:val="center"/>
              <w:rPr>
                <w:rFonts w:hint="eastAsia" w:eastAsia="楷体_GB2312"/>
                <w:sz w:val="24"/>
              </w:rPr>
            </w:pPr>
          </w:p>
        </w:tc>
        <w:tc>
          <w:tcPr>
            <w:tcW w:w="1343" w:type="dxa"/>
            <w:gridSpan w:val="3"/>
            <w:vAlign w:val="center"/>
          </w:tcPr>
          <w:p>
            <w:pPr>
              <w:jc w:val="center"/>
              <w:rPr>
                <w:rFonts w:hint="eastAsia" w:ascii="黑体" w:eastAsia="黑体"/>
                <w:sz w:val="24"/>
              </w:rPr>
            </w:pPr>
            <w:r>
              <w:rPr>
                <w:rFonts w:hint="eastAsia" w:ascii="黑体" w:eastAsia="黑体"/>
                <w:sz w:val="24"/>
              </w:rPr>
              <w:t>是否通过</w:t>
            </w:r>
          </w:p>
          <w:p>
            <w:pPr>
              <w:jc w:val="center"/>
              <w:rPr>
                <w:rFonts w:hint="eastAsia" w:eastAsia="楷体_GB2312"/>
                <w:sz w:val="24"/>
              </w:rPr>
            </w:pPr>
            <w:r>
              <w:rPr>
                <w:rFonts w:hint="eastAsia" w:ascii="黑体" w:eastAsia="黑体"/>
                <w:sz w:val="24"/>
              </w:rPr>
              <w:t>CET4、CET6</w:t>
            </w:r>
          </w:p>
        </w:tc>
        <w:tc>
          <w:tcPr>
            <w:tcW w:w="2685" w:type="dxa"/>
            <w:gridSpan w:val="3"/>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1365" w:type="dxa"/>
            <w:tcBorders>
              <w:bottom w:val="single" w:color="auto" w:sz="4" w:space="0"/>
            </w:tcBorders>
            <w:vAlign w:val="center"/>
          </w:tcPr>
          <w:p>
            <w:pPr>
              <w:jc w:val="center"/>
              <w:rPr>
                <w:rFonts w:hint="eastAsia" w:ascii="黑体" w:eastAsia="黑体"/>
                <w:sz w:val="24"/>
              </w:rPr>
            </w:pPr>
            <w:r>
              <w:rPr>
                <w:rFonts w:hint="eastAsia" w:ascii="黑体" w:eastAsia="黑体"/>
                <w:sz w:val="24"/>
              </w:rPr>
              <w:t>前两学期平均成绩</w:t>
            </w:r>
          </w:p>
        </w:tc>
        <w:tc>
          <w:tcPr>
            <w:tcW w:w="1009" w:type="dxa"/>
            <w:tcBorders>
              <w:bottom w:val="single" w:color="auto" w:sz="4" w:space="0"/>
            </w:tcBorders>
            <w:vAlign w:val="center"/>
          </w:tcPr>
          <w:p>
            <w:pPr>
              <w:jc w:val="center"/>
              <w:rPr>
                <w:rFonts w:hint="eastAsia" w:ascii="黑体" w:eastAsia="黑体"/>
                <w:sz w:val="24"/>
              </w:rPr>
            </w:pPr>
          </w:p>
        </w:tc>
        <w:tc>
          <w:tcPr>
            <w:tcW w:w="998" w:type="dxa"/>
            <w:gridSpan w:val="2"/>
            <w:vAlign w:val="center"/>
          </w:tcPr>
          <w:p>
            <w:pPr>
              <w:jc w:val="center"/>
              <w:rPr>
                <w:rFonts w:hint="eastAsia" w:ascii="黑体" w:eastAsia="黑体"/>
                <w:sz w:val="24"/>
              </w:rPr>
            </w:pPr>
            <w:r>
              <w:rPr>
                <w:rFonts w:hint="eastAsia" w:ascii="黑体" w:eastAsia="黑体"/>
                <w:sz w:val="24"/>
              </w:rPr>
              <w:t>第一</w:t>
            </w:r>
          </w:p>
          <w:p>
            <w:pPr>
              <w:jc w:val="center"/>
              <w:rPr>
                <w:rFonts w:hint="eastAsia" w:ascii="黑体" w:eastAsia="黑体"/>
                <w:sz w:val="24"/>
              </w:rPr>
            </w:pPr>
            <w:r>
              <w:rPr>
                <w:rFonts w:hint="eastAsia" w:ascii="黑体" w:eastAsia="黑体"/>
                <w:sz w:val="24"/>
              </w:rPr>
              <w:t>学期</w:t>
            </w:r>
          </w:p>
        </w:tc>
        <w:tc>
          <w:tcPr>
            <w:tcW w:w="1888" w:type="dxa"/>
            <w:gridSpan w:val="5"/>
            <w:vAlign w:val="center"/>
          </w:tcPr>
          <w:p>
            <w:pPr>
              <w:jc w:val="center"/>
              <w:rPr>
                <w:rFonts w:hint="eastAsia" w:ascii="黑体" w:eastAsia="黑体"/>
                <w:sz w:val="24"/>
              </w:rPr>
            </w:pPr>
          </w:p>
        </w:tc>
        <w:tc>
          <w:tcPr>
            <w:tcW w:w="1343" w:type="dxa"/>
            <w:gridSpan w:val="3"/>
            <w:vAlign w:val="center"/>
          </w:tcPr>
          <w:p>
            <w:pPr>
              <w:jc w:val="center"/>
              <w:rPr>
                <w:rFonts w:hint="eastAsia" w:ascii="黑体" w:eastAsia="黑体"/>
                <w:sz w:val="24"/>
              </w:rPr>
            </w:pPr>
            <w:r>
              <w:rPr>
                <w:rFonts w:hint="eastAsia" w:ascii="黑体" w:eastAsia="黑体"/>
                <w:sz w:val="24"/>
              </w:rPr>
              <w:t>第二</w:t>
            </w:r>
          </w:p>
          <w:p>
            <w:pPr>
              <w:jc w:val="center"/>
              <w:rPr>
                <w:rFonts w:hint="eastAsia" w:ascii="黑体" w:eastAsia="黑体"/>
                <w:sz w:val="24"/>
              </w:rPr>
            </w:pPr>
            <w:r>
              <w:rPr>
                <w:rFonts w:hint="eastAsia" w:ascii="黑体" w:eastAsia="黑体"/>
                <w:sz w:val="24"/>
              </w:rPr>
              <w:t>学期</w:t>
            </w:r>
          </w:p>
        </w:tc>
        <w:tc>
          <w:tcPr>
            <w:tcW w:w="2685" w:type="dxa"/>
            <w:gridSpan w:val="3"/>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365" w:type="dxa"/>
            <w:vMerge w:val="restart"/>
            <w:vAlign w:val="center"/>
          </w:tcPr>
          <w:p>
            <w:pPr>
              <w:jc w:val="center"/>
              <w:rPr>
                <w:rFonts w:hint="eastAsia" w:ascii="黑体" w:eastAsia="黑体"/>
                <w:sz w:val="24"/>
              </w:rPr>
            </w:pPr>
            <w:r>
              <w:rPr>
                <w:rFonts w:hint="eastAsia" w:ascii="黑体" w:eastAsia="黑体"/>
                <w:sz w:val="24"/>
              </w:rPr>
              <w:t>各科成绩</w:t>
            </w:r>
          </w:p>
        </w:tc>
        <w:tc>
          <w:tcPr>
            <w:tcW w:w="1009" w:type="dxa"/>
            <w:tcBorders>
              <w:bottom w:val="single" w:color="auto" w:sz="4" w:space="0"/>
            </w:tcBorders>
            <w:vAlign w:val="center"/>
          </w:tcPr>
          <w:p>
            <w:pPr>
              <w:jc w:val="center"/>
              <w:rPr>
                <w:rFonts w:hint="eastAsia" w:ascii="黑体" w:eastAsia="黑体"/>
                <w:sz w:val="24"/>
              </w:rPr>
            </w:pPr>
            <w:r>
              <w:rPr>
                <w:rFonts w:hint="eastAsia" w:ascii="黑体" w:eastAsia="黑体"/>
                <w:sz w:val="24"/>
              </w:rPr>
              <w:t>高数</w:t>
            </w:r>
            <w:r>
              <w:rPr>
                <w:rFonts w:eastAsia="黑体"/>
                <w:b/>
                <w:sz w:val="24"/>
              </w:rPr>
              <w:t>I</w:t>
            </w:r>
          </w:p>
        </w:tc>
        <w:tc>
          <w:tcPr>
            <w:tcW w:w="998" w:type="dxa"/>
            <w:gridSpan w:val="2"/>
            <w:tcBorders>
              <w:bottom w:val="single" w:color="auto" w:sz="4" w:space="0"/>
            </w:tcBorders>
            <w:vAlign w:val="center"/>
          </w:tcPr>
          <w:p>
            <w:pPr>
              <w:jc w:val="center"/>
              <w:rPr>
                <w:rFonts w:hint="eastAsia" w:ascii="黑体" w:eastAsia="黑体"/>
                <w:sz w:val="24"/>
              </w:rPr>
            </w:pPr>
            <w:r>
              <w:rPr>
                <w:rFonts w:hint="eastAsia" w:ascii="黑体" w:eastAsia="黑体"/>
                <w:sz w:val="24"/>
              </w:rPr>
              <w:t>高数</w:t>
            </w:r>
            <w:r>
              <w:rPr>
                <w:rFonts w:hint="eastAsia" w:eastAsia="黑体"/>
                <w:b/>
                <w:sz w:val="24"/>
              </w:rPr>
              <w:t>II</w:t>
            </w:r>
          </w:p>
        </w:tc>
        <w:tc>
          <w:tcPr>
            <w:tcW w:w="1080" w:type="dxa"/>
            <w:gridSpan w:val="2"/>
            <w:vAlign w:val="center"/>
          </w:tcPr>
          <w:p>
            <w:pPr>
              <w:jc w:val="center"/>
              <w:rPr>
                <w:rFonts w:hint="eastAsia" w:ascii="黑体" w:eastAsia="黑体"/>
                <w:sz w:val="24"/>
              </w:rPr>
            </w:pPr>
            <w:r>
              <w:rPr>
                <w:rFonts w:hint="eastAsia" w:ascii="黑体" w:eastAsia="黑体"/>
                <w:sz w:val="24"/>
              </w:rPr>
              <w:t>大学物理</w:t>
            </w:r>
            <w:r>
              <w:rPr>
                <w:rFonts w:hint="eastAsia" w:eastAsia="黑体"/>
                <w:b/>
                <w:sz w:val="24"/>
              </w:rPr>
              <w:t>I</w:t>
            </w:r>
          </w:p>
        </w:tc>
        <w:tc>
          <w:tcPr>
            <w:tcW w:w="795" w:type="dxa"/>
            <w:gridSpan w:val="2"/>
            <w:vAlign w:val="center"/>
          </w:tcPr>
          <w:p>
            <w:pPr>
              <w:jc w:val="center"/>
              <w:rPr>
                <w:rFonts w:hint="eastAsia" w:ascii="黑体" w:eastAsia="黑体"/>
                <w:sz w:val="24"/>
              </w:rPr>
            </w:pPr>
            <w:r>
              <w:rPr>
                <w:rFonts w:hint="eastAsia" w:ascii="黑体" w:eastAsia="黑体"/>
                <w:sz w:val="24"/>
              </w:rPr>
              <w:t>线性代数</w:t>
            </w:r>
          </w:p>
        </w:tc>
        <w:tc>
          <w:tcPr>
            <w:tcW w:w="1349" w:type="dxa"/>
            <w:gridSpan w:val="3"/>
            <w:vAlign w:val="center"/>
          </w:tcPr>
          <w:p>
            <w:pPr>
              <w:jc w:val="center"/>
              <w:rPr>
                <w:rFonts w:hint="eastAsia" w:ascii="黑体" w:eastAsia="黑体"/>
                <w:sz w:val="24"/>
              </w:rPr>
            </w:pPr>
            <w:r>
              <w:rPr>
                <w:rFonts w:hint="eastAsia" w:ascii="黑体" w:eastAsia="黑体"/>
                <w:sz w:val="24"/>
              </w:rPr>
              <w:t>电路</w:t>
            </w:r>
          </w:p>
        </w:tc>
        <w:tc>
          <w:tcPr>
            <w:tcW w:w="1593" w:type="dxa"/>
            <w:gridSpan w:val="3"/>
            <w:vAlign w:val="center"/>
          </w:tcPr>
          <w:p>
            <w:pPr>
              <w:jc w:val="center"/>
              <w:rPr>
                <w:rFonts w:hint="eastAsia" w:ascii="黑体" w:eastAsia="黑体"/>
                <w:sz w:val="24"/>
              </w:rPr>
            </w:pPr>
            <w:r>
              <w:rPr>
                <w:rFonts w:hint="eastAsia" w:ascii="黑体" w:eastAsia="黑体"/>
                <w:sz w:val="24"/>
              </w:rPr>
              <w:t>大学英语</w:t>
            </w:r>
            <w:r>
              <w:rPr>
                <w:rFonts w:hint="eastAsia" w:eastAsia="黑体"/>
                <w:b/>
                <w:sz w:val="24"/>
              </w:rPr>
              <w:t>I</w:t>
            </w:r>
          </w:p>
        </w:tc>
        <w:tc>
          <w:tcPr>
            <w:tcW w:w="1099" w:type="dxa"/>
            <w:vAlign w:val="center"/>
          </w:tcPr>
          <w:p>
            <w:pPr>
              <w:jc w:val="center"/>
              <w:rPr>
                <w:rFonts w:hint="eastAsia" w:ascii="黑体" w:eastAsia="黑体"/>
                <w:sz w:val="24"/>
              </w:rPr>
            </w:pPr>
            <w:r>
              <w:rPr>
                <w:rFonts w:hint="eastAsia" w:ascii="黑体" w:eastAsia="黑体"/>
                <w:sz w:val="24"/>
              </w:rPr>
              <w:t>大学英语</w:t>
            </w:r>
            <w:r>
              <w:rPr>
                <w:rFonts w:hint="eastAsia" w:eastAsia="黑体"/>
                <w:b/>
                <w:sz w:val="24"/>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1365" w:type="dxa"/>
            <w:vMerge w:val="continue"/>
            <w:tcBorders>
              <w:bottom w:val="single" w:color="auto" w:sz="4" w:space="0"/>
            </w:tcBorders>
            <w:vAlign w:val="center"/>
          </w:tcPr>
          <w:p>
            <w:pPr>
              <w:jc w:val="center"/>
              <w:rPr>
                <w:rFonts w:hint="eastAsia" w:ascii="黑体" w:eastAsia="黑体"/>
                <w:sz w:val="24"/>
              </w:rPr>
            </w:pPr>
          </w:p>
        </w:tc>
        <w:tc>
          <w:tcPr>
            <w:tcW w:w="1009" w:type="dxa"/>
            <w:tcBorders>
              <w:bottom w:val="single" w:color="auto" w:sz="4" w:space="0"/>
            </w:tcBorders>
            <w:vAlign w:val="center"/>
          </w:tcPr>
          <w:p>
            <w:pPr>
              <w:jc w:val="center"/>
              <w:rPr>
                <w:rFonts w:hint="eastAsia" w:ascii="黑体" w:eastAsia="黑体"/>
                <w:sz w:val="24"/>
              </w:rPr>
            </w:pPr>
          </w:p>
        </w:tc>
        <w:tc>
          <w:tcPr>
            <w:tcW w:w="998" w:type="dxa"/>
            <w:gridSpan w:val="2"/>
            <w:tcBorders>
              <w:bottom w:val="single" w:color="auto" w:sz="4" w:space="0"/>
            </w:tcBorders>
            <w:vAlign w:val="center"/>
          </w:tcPr>
          <w:p>
            <w:pPr>
              <w:jc w:val="center"/>
              <w:rPr>
                <w:rFonts w:hint="eastAsia" w:ascii="黑体" w:eastAsia="黑体"/>
                <w:sz w:val="24"/>
              </w:rPr>
            </w:pPr>
          </w:p>
        </w:tc>
        <w:tc>
          <w:tcPr>
            <w:tcW w:w="1080" w:type="dxa"/>
            <w:gridSpan w:val="2"/>
            <w:vAlign w:val="center"/>
          </w:tcPr>
          <w:p>
            <w:pPr>
              <w:jc w:val="center"/>
              <w:rPr>
                <w:rFonts w:hint="eastAsia" w:ascii="黑体" w:eastAsia="黑体"/>
                <w:sz w:val="24"/>
              </w:rPr>
            </w:pPr>
          </w:p>
        </w:tc>
        <w:tc>
          <w:tcPr>
            <w:tcW w:w="795" w:type="dxa"/>
            <w:gridSpan w:val="2"/>
            <w:vAlign w:val="center"/>
          </w:tcPr>
          <w:p>
            <w:pPr>
              <w:jc w:val="center"/>
              <w:rPr>
                <w:rFonts w:hint="eastAsia" w:ascii="黑体" w:eastAsia="黑体"/>
                <w:sz w:val="24"/>
              </w:rPr>
            </w:pPr>
          </w:p>
        </w:tc>
        <w:tc>
          <w:tcPr>
            <w:tcW w:w="1349" w:type="dxa"/>
            <w:gridSpan w:val="3"/>
            <w:vAlign w:val="center"/>
          </w:tcPr>
          <w:p>
            <w:pPr>
              <w:jc w:val="center"/>
              <w:rPr>
                <w:rFonts w:hint="eastAsia" w:ascii="黑体" w:eastAsia="黑体"/>
                <w:sz w:val="24"/>
              </w:rPr>
            </w:pPr>
          </w:p>
        </w:tc>
        <w:tc>
          <w:tcPr>
            <w:tcW w:w="1593" w:type="dxa"/>
            <w:gridSpan w:val="3"/>
            <w:vAlign w:val="center"/>
          </w:tcPr>
          <w:p>
            <w:pPr>
              <w:jc w:val="center"/>
              <w:rPr>
                <w:rFonts w:hint="eastAsia" w:ascii="黑体" w:eastAsia="黑体"/>
                <w:sz w:val="24"/>
              </w:rPr>
            </w:pPr>
          </w:p>
        </w:tc>
        <w:tc>
          <w:tcPr>
            <w:tcW w:w="1099" w:type="dxa"/>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trPr>
        <w:tc>
          <w:tcPr>
            <w:tcW w:w="1365" w:type="dxa"/>
            <w:vAlign w:val="center"/>
          </w:tcPr>
          <w:p>
            <w:pPr>
              <w:jc w:val="center"/>
              <w:rPr>
                <w:rFonts w:hint="eastAsia" w:ascii="黑体" w:eastAsia="黑体"/>
                <w:sz w:val="24"/>
              </w:rPr>
            </w:pPr>
            <w:r>
              <w:rPr>
                <w:rFonts w:hint="eastAsia" w:ascii="黑体" w:eastAsia="黑体"/>
                <w:sz w:val="24"/>
              </w:rPr>
              <w:t>所获奖励及</w:t>
            </w:r>
            <w:r>
              <w:rPr>
                <w:rFonts w:hint="eastAsia" w:eastAsia="黑体"/>
                <w:sz w:val="24"/>
              </w:rPr>
              <w:t>参加课外科技活动等情况</w:t>
            </w:r>
          </w:p>
        </w:tc>
        <w:tc>
          <w:tcPr>
            <w:tcW w:w="7923" w:type="dxa"/>
            <w:gridSpan w:val="14"/>
            <w:tcBorders>
              <w:top w:val="nil"/>
            </w:tcBorders>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 w:hRule="atLeast"/>
        </w:trPr>
        <w:tc>
          <w:tcPr>
            <w:tcW w:w="1365" w:type="dxa"/>
            <w:vAlign w:val="center"/>
          </w:tcPr>
          <w:p>
            <w:pPr>
              <w:jc w:val="center"/>
              <w:rPr>
                <w:rFonts w:hint="eastAsia" w:eastAsia="黑体"/>
                <w:sz w:val="24"/>
              </w:rPr>
            </w:pPr>
            <w:r>
              <w:rPr>
                <w:rFonts w:hint="eastAsia" w:eastAsia="黑体"/>
                <w:sz w:val="24"/>
              </w:rPr>
              <w:t>学生家长意见</w:t>
            </w:r>
          </w:p>
        </w:tc>
        <w:tc>
          <w:tcPr>
            <w:tcW w:w="7923" w:type="dxa"/>
            <w:gridSpan w:val="14"/>
          </w:tcPr>
          <w:p>
            <w:pPr>
              <w:ind w:firstLine="3840" w:firstLineChars="1600"/>
              <w:rPr>
                <w:rFonts w:hint="eastAsia" w:eastAsia="黑体"/>
                <w:sz w:val="24"/>
              </w:rPr>
            </w:pPr>
          </w:p>
          <w:p>
            <w:pPr>
              <w:ind w:firstLine="3840" w:firstLineChars="1600"/>
              <w:rPr>
                <w:rFonts w:hint="eastAsia" w:eastAsia="黑体"/>
                <w:sz w:val="24"/>
              </w:rPr>
            </w:pPr>
          </w:p>
          <w:p>
            <w:pPr>
              <w:ind w:firstLine="3840" w:firstLineChars="1600"/>
              <w:rPr>
                <w:rFonts w:hint="eastAsia" w:eastAsia="楷体_GB2312"/>
                <w:sz w:val="24"/>
              </w:rPr>
            </w:pPr>
            <w:r>
              <w:rPr>
                <w:rFonts w:hint="eastAsia" w:eastAsia="黑体"/>
                <w:sz w:val="24"/>
              </w:rPr>
              <w:t>年    月    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8" w:hRule="atLeast"/>
        </w:trPr>
        <w:tc>
          <w:tcPr>
            <w:tcW w:w="1365" w:type="dxa"/>
            <w:vAlign w:val="center"/>
          </w:tcPr>
          <w:p>
            <w:pPr>
              <w:jc w:val="center"/>
              <w:rPr>
                <w:rFonts w:hint="eastAsia" w:eastAsia="黑体"/>
                <w:sz w:val="24"/>
              </w:rPr>
            </w:pPr>
            <w:r>
              <w:rPr>
                <w:rFonts w:hint="eastAsia" w:eastAsia="黑体"/>
                <w:sz w:val="24"/>
              </w:rPr>
              <w:t>转出院系意见</w:t>
            </w:r>
          </w:p>
        </w:tc>
        <w:tc>
          <w:tcPr>
            <w:tcW w:w="7923" w:type="dxa"/>
            <w:gridSpan w:val="14"/>
          </w:tcPr>
          <w:p>
            <w:pPr>
              <w:rPr>
                <w:rFonts w:hint="eastAsia" w:eastAsia="楷体_GB2312"/>
                <w:sz w:val="24"/>
              </w:rPr>
            </w:pPr>
          </w:p>
          <w:p>
            <w:pPr>
              <w:ind w:firstLine="2760" w:firstLineChars="1150"/>
              <w:rPr>
                <w:rFonts w:hint="eastAsia" w:eastAsia="黑体"/>
                <w:sz w:val="24"/>
              </w:rPr>
            </w:pPr>
          </w:p>
          <w:p>
            <w:pPr>
              <w:ind w:firstLine="2760" w:firstLineChars="1150"/>
              <w:rPr>
                <w:rFonts w:hint="eastAsia" w:eastAsia="黑体"/>
                <w:sz w:val="24"/>
              </w:rPr>
            </w:pPr>
          </w:p>
          <w:p>
            <w:pPr>
              <w:ind w:firstLine="2760" w:firstLineChars="1150"/>
              <w:rPr>
                <w:rFonts w:hint="eastAsia" w:eastAsia="黑体"/>
                <w:sz w:val="24"/>
              </w:rPr>
            </w:pPr>
          </w:p>
          <w:p>
            <w:pPr>
              <w:ind w:firstLine="2760" w:firstLineChars="1150"/>
              <w:rPr>
                <w:rFonts w:hint="eastAsia" w:eastAsia="楷体_GB2312"/>
                <w:sz w:val="24"/>
              </w:rPr>
            </w:pPr>
            <w:r>
              <w:rPr>
                <w:rFonts w:hint="eastAsia" w:eastAsia="黑体"/>
                <w:sz w:val="24"/>
              </w:rPr>
              <w:t>年    月    日（所在院（系）签字、盖章）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trPr>
        <w:tc>
          <w:tcPr>
            <w:tcW w:w="1365" w:type="dxa"/>
            <w:vAlign w:val="center"/>
          </w:tcPr>
          <w:p>
            <w:pPr>
              <w:jc w:val="center"/>
              <w:rPr>
                <w:rFonts w:hint="eastAsia" w:eastAsia="黑体"/>
                <w:sz w:val="24"/>
              </w:rPr>
            </w:pPr>
            <w:r>
              <w:rPr>
                <w:rFonts w:hint="eastAsia" w:eastAsia="黑体"/>
                <w:sz w:val="24"/>
              </w:rPr>
              <w:t>学院审核</w:t>
            </w:r>
          </w:p>
          <w:p>
            <w:pPr>
              <w:jc w:val="center"/>
              <w:rPr>
                <w:rFonts w:hint="eastAsia" w:eastAsia="黑体"/>
                <w:sz w:val="24"/>
              </w:rPr>
            </w:pPr>
            <w:r>
              <w:rPr>
                <w:rFonts w:hint="eastAsia" w:eastAsia="黑体"/>
                <w:sz w:val="24"/>
              </w:rPr>
              <w:t>意见</w:t>
            </w:r>
          </w:p>
        </w:tc>
        <w:tc>
          <w:tcPr>
            <w:tcW w:w="7923" w:type="dxa"/>
            <w:gridSpan w:val="14"/>
          </w:tcPr>
          <w:p>
            <w:pPr>
              <w:rPr>
                <w:rFonts w:hint="eastAsia" w:eastAsia="楷体_GB2312"/>
                <w:sz w:val="24"/>
              </w:rPr>
            </w:pPr>
          </w:p>
          <w:p>
            <w:pPr>
              <w:rPr>
                <w:rFonts w:hint="eastAsia" w:eastAsia="楷体_GB2312"/>
                <w:sz w:val="24"/>
              </w:rPr>
            </w:pPr>
            <w:r>
              <w:rPr>
                <w:rFonts w:hint="eastAsia" w:eastAsia="楷体_GB2312"/>
                <w:sz w:val="24"/>
              </w:rPr>
              <w:t xml:space="preserve">               </w:t>
            </w:r>
          </w:p>
          <w:p>
            <w:pPr>
              <w:rPr>
                <w:rFonts w:hint="eastAsia" w:eastAsia="楷体_GB2312"/>
                <w:sz w:val="24"/>
              </w:rPr>
            </w:pPr>
            <w:r>
              <w:rPr>
                <w:rFonts w:hint="eastAsia" w:eastAsia="楷体_GB2312"/>
                <w:sz w:val="24"/>
              </w:rPr>
              <w:t xml:space="preserve">                   </w:t>
            </w:r>
          </w:p>
          <w:p>
            <w:pPr>
              <w:rPr>
                <w:rFonts w:hint="eastAsia" w:eastAsia="楷体_GB2312"/>
                <w:sz w:val="24"/>
              </w:rPr>
            </w:pPr>
          </w:p>
          <w:p>
            <w:pPr>
              <w:rPr>
                <w:rFonts w:hint="eastAsia" w:eastAsia="楷体_GB2312"/>
                <w:sz w:val="24"/>
              </w:rPr>
            </w:pPr>
          </w:p>
          <w:p>
            <w:pPr>
              <w:jc w:val="center"/>
              <w:rPr>
                <w:rFonts w:hint="eastAsia" w:eastAsia="楷体_GB2312"/>
                <w:sz w:val="24"/>
              </w:rPr>
            </w:pPr>
            <w:r>
              <w:rPr>
                <w:rFonts w:hint="eastAsia" w:eastAsia="楷体_GB2312"/>
                <w:sz w:val="24"/>
              </w:rPr>
              <w:t xml:space="preserve">                                </w:t>
            </w:r>
            <w:r>
              <w:rPr>
                <w:rFonts w:hint="eastAsia" w:eastAsia="黑体"/>
                <w:sz w:val="24"/>
              </w:rPr>
              <w:t>年    月    日（签字、盖章）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84515"/>
    <w:rsid w:val="5EF84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rPr>
      <w:rFonts w:ascii="宋体" w:hAnsi="宋体"/>
    </w:rPr>
  </w:style>
  <w:style w:type="paragraph" w:customStyle="1" w:styleId="5">
    <w:name w:val="样式 首行缩进:  0.74 厘米"/>
    <w:basedOn w:val="1"/>
    <w:qFormat/>
    <w:uiPriority w:val="0"/>
    <w:pPr>
      <w:spacing w:line="360" w:lineRule="auto"/>
      <w:ind w:firstLine="510"/>
    </w:pPr>
    <w:rPr>
      <w:rFonts w:ascii="Times New Roman" w:hAnsi="Times New Roman"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2019-03-26T09:45:00Z</dcterms:created>
  <dc:creator>笑</dc:creator>
  <cp:lastModifiedBy>笑</cp:lastModifiedBy>
  <dcterms:modified xsi:type="dcterms:W3CDTF">2019-03-26T09:46:14Z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