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 xml:space="preserve">附件5：     </w:t>
      </w:r>
    </w:p>
    <w:p>
      <w:pPr>
        <w:jc w:val="center"/>
        <w:rPr>
          <w:b/>
          <w:bCs/>
          <w:sz w:val="36"/>
          <w:szCs w:val="36"/>
        </w:rPr>
      </w:pPr>
      <w:r>
        <w:rPr>
          <w:rFonts w:hint="eastAsia"/>
          <w:b/>
          <w:bCs/>
          <w:sz w:val="36"/>
          <w:szCs w:val="36"/>
        </w:rPr>
        <w:t>西安工业大学材料与化工学院</w:t>
      </w:r>
    </w:p>
    <w:p>
      <w:pPr>
        <w:jc w:val="center"/>
        <w:rPr>
          <w:b/>
          <w:bCs/>
          <w:sz w:val="36"/>
          <w:szCs w:val="36"/>
        </w:rPr>
      </w:pPr>
      <w:r>
        <w:rPr>
          <w:b/>
          <w:bCs/>
          <w:sz w:val="36"/>
          <w:szCs w:val="36"/>
        </w:rPr>
        <w:t>2017</w:t>
      </w:r>
      <w:r>
        <w:rPr>
          <w:rFonts w:hint="eastAsia"/>
          <w:b/>
          <w:bCs/>
          <w:sz w:val="36"/>
          <w:szCs w:val="36"/>
        </w:rPr>
        <w:t>级“金属材料卓越工程师”班招生简章</w:t>
      </w:r>
    </w:p>
    <w:p>
      <w:pPr>
        <w:spacing w:line="360" w:lineRule="auto"/>
        <w:ind w:firstLine="480" w:firstLineChars="200"/>
        <w:rPr>
          <w:sz w:val="24"/>
        </w:rPr>
      </w:pPr>
      <w:r>
        <w:rPr>
          <w:rFonts w:hint="eastAsia"/>
          <w:sz w:val="24"/>
        </w:rPr>
        <w:t>“金属材料卓越工程师”班是依据我国卓越工程师培养计划精神，在对用人单位进行了广泛的调研的基础上，通过对我校及材化院人才培养模式的充分论证，而实施的一项重要教学改革的举措。其指导思想是以市场对人才的需求为导向，贯彻因材施教的原则，为拔尖人才创造脱颖而出的环境和条件。其主要目的是通过卓越班培养，为学生打下坚实的基础，使之具有良好的科学和人文底蕴，为社会输送一批基础扎实、知识面宽、能力强、有创新能力的人才。</w:t>
      </w:r>
    </w:p>
    <w:p>
      <w:pPr>
        <w:spacing w:line="360" w:lineRule="auto"/>
        <w:rPr>
          <w:rFonts w:hint="eastAsia"/>
          <w:b/>
          <w:sz w:val="24"/>
        </w:rPr>
      </w:pPr>
      <w:r>
        <w:rPr>
          <w:rFonts w:hint="eastAsia"/>
          <w:b/>
          <w:sz w:val="24"/>
        </w:rPr>
        <w:t>一、卓越班简介</w:t>
      </w:r>
      <w:bookmarkStart w:id="0" w:name="_Toc307905943"/>
    </w:p>
    <w:p>
      <w:pPr>
        <w:spacing w:line="360" w:lineRule="auto"/>
        <w:ind w:firstLine="480" w:firstLineChars="200"/>
        <w:rPr>
          <w:sz w:val="24"/>
        </w:rPr>
      </w:pPr>
      <w:r>
        <w:rPr>
          <w:sz w:val="24"/>
        </w:rPr>
        <w:t>1</w:t>
      </w:r>
      <w:r>
        <w:rPr>
          <w:rFonts w:hint="eastAsia"/>
          <w:sz w:val="24"/>
        </w:rPr>
        <w:t>、</w:t>
      </w:r>
      <w:r>
        <w:rPr>
          <w:sz w:val="24"/>
        </w:rPr>
        <w:t xml:space="preserve"> </w:t>
      </w:r>
      <w:r>
        <w:rPr>
          <w:rFonts w:hint="eastAsia"/>
          <w:sz w:val="24"/>
        </w:rPr>
        <w:t>培养定位</w:t>
      </w:r>
      <w:bookmarkEnd w:id="0"/>
    </w:p>
    <w:p>
      <w:pPr>
        <w:spacing w:line="360" w:lineRule="auto"/>
        <w:ind w:firstLine="420" w:firstLineChars="200"/>
        <w:rPr>
          <w:rFonts w:hint="eastAsia"/>
        </w:rPr>
      </w:pPr>
      <w:bookmarkStart w:id="1" w:name="OLE_LINK1"/>
      <w:r>
        <w:rPr>
          <w:rFonts w:hint="eastAsia"/>
        </w:rPr>
        <w:t>熟练掌握现代先进热加工工艺设计技术，具有超长的计算机应用能力，能进行热加工模具设计，有一定的工艺实践经历，了解材料工艺学科前沿研究进展，具有坚实金属材料理论基础的现代热加工工艺设计工程师</w:t>
      </w:r>
      <w:bookmarkEnd w:id="1"/>
      <w:bookmarkStart w:id="2" w:name="_Toc307905944"/>
    </w:p>
    <w:p>
      <w:pPr>
        <w:spacing w:line="360" w:lineRule="auto"/>
        <w:ind w:firstLine="480" w:firstLineChars="200"/>
        <w:rPr>
          <w:sz w:val="24"/>
        </w:rPr>
      </w:pPr>
      <w:r>
        <w:rPr>
          <w:sz w:val="24"/>
        </w:rPr>
        <w:t>2</w:t>
      </w:r>
      <w:r>
        <w:rPr>
          <w:rFonts w:hint="eastAsia"/>
          <w:sz w:val="24"/>
        </w:rPr>
        <w:t>、</w:t>
      </w:r>
      <w:r>
        <w:rPr>
          <w:sz w:val="24"/>
        </w:rPr>
        <w:t xml:space="preserve"> </w:t>
      </w:r>
      <w:r>
        <w:rPr>
          <w:rFonts w:hint="eastAsia"/>
          <w:sz w:val="24"/>
        </w:rPr>
        <w:t>特色</w:t>
      </w:r>
      <w:bookmarkEnd w:id="2"/>
    </w:p>
    <w:p>
      <w:pPr>
        <w:spacing w:line="360" w:lineRule="auto"/>
        <w:ind w:firstLine="482" w:firstLineChars="200"/>
        <w:rPr>
          <w:sz w:val="24"/>
        </w:rPr>
      </w:pPr>
      <w:r>
        <w:rPr>
          <w:rFonts w:hint="eastAsia"/>
          <w:b/>
          <w:sz w:val="24"/>
        </w:rPr>
        <w:t>课程重点突出</w:t>
      </w:r>
      <w:r>
        <w:rPr>
          <w:rFonts w:hint="eastAsia"/>
          <w:sz w:val="24"/>
        </w:rPr>
        <w:t>：开设工艺基础设计课程，计算机辅助设计课程，热加工模具设计基础课程，热加工模具技术课程。突出计算机技术在材料工程中的应用课程，以相对复杂铸造工艺设计、计算机辅助模拟和铸造模具设计为重点</w:t>
      </w:r>
    </w:p>
    <w:p>
      <w:pPr>
        <w:spacing w:line="360" w:lineRule="auto"/>
        <w:ind w:firstLine="482" w:firstLineChars="200"/>
        <w:rPr>
          <w:sz w:val="24"/>
        </w:rPr>
      </w:pPr>
      <w:r>
        <w:rPr>
          <w:rFonts w:hint="eastAsia"/>
          <w:b/>
          <w:sz w:val="24"/>
        </w:rPr>
        <w:t>培养主线清晰</w:t>
      </w:r>
      <w:r>
        <w:rPr>
          <w:rFonts w:hint="eastAsia"/>
          <w:sz w:val="24"/>
        </w:rPr>
        <w:t>：</w:t>
      </w:r>
      <w:r>
        <w:rPr>
          <w:sz w:val="24"/>
        </w:rPr>
        <w:t xml:space="preserve"> </w:t>
      </w:r>
      <w:r>
        <w:rPr>
          <w:rFonts w:hint="eastAsia"/>
          <w:sz w:val="24"/>
        </w:rPr>
        <w:t>全面培养学生从铸造工艺设计到计算机辅助铸造工艺模拟到铸造模具设计全过程的原理与技术，并具有全面热加工工艺设计与模具设计知识。</w:t>
      </w:r>
    </w:p>
    <w:p>
      <w:pPr>
        <w:spacing w:line="360" w:lineRule="auto"/>
        <w:ind w:firstLine="422" w:firstLineChars="200"/>
        <w:rPr>
          <w:rFonts w:hint="eastAsia"/>
        </w:rPr>
      </w:pPr>
      <w:r>
        <w:rPr>
          <w:rFonts w:hint="eastAsia"/>
          <w:b/>
        </w:rPr>
        <w:t>实习模式创新</w:t>
      </w:r>
      <w:r>
        <w:rPr>
          <w:rFonts w:hint="eastAsia"/>
        </w:rPr>
        <w:t>：设置一学期在企业学习工程实践能力，学生进入企业实训前，通过系统专业学习具有以先进的计算机辅助设计技术服务于企业的知识体系和实际能力，实现与实习企业的全面互动。</w:t>
      </w:r>
      <w:bookmarkStart w:id="3" w:name="_Toc307905946"/>
    </w:p>
    <w:p>
      <w:pPr>
        <w:spacing w:line="360" w:lineRule="auto"/>
        <w:ind w:firstLine="480" w:firstLineChars="200"/>
        <w:rPr>
          <w:sz w:val="24"/>
        </w:rPr>
      </w:pPr>
      <w:r>
        <w:rPr>
          <w:sz w:val="24"/>
        </w:rPr>
        <w:t>3</w:t>
      </w:r>
      <w:r>
        <w:rPr>
          <w:rFonts w:hint="eastAsia"/>
          <w:sz w:val="24"/>
        </w:rPr>
        <w:t>、</w:t>
      </w:r>
      <w:r>
        <w:rPr>
          <w:sz w:val="24"/>
        </w:rPr>
        <w:t xml:space="preserve"> </w:t>
      </w:r>
      <w:r>
        <w:rPr>
          <w:rFonts w:hint="eastAsia"/>
          <w:sz w:val="24"/>
        </w:rPr>
        <w:t>学生知识体系</w:t>
      </w:r>
      <w:bookmarkEnd w:id="3"/>
    </w:p>
    <w:p>
      <w:pPr>
        <w:spacing w:line="360" w:lineRule="auto"/>
        <w:ind w:firstLine="420" w:firstLineChars="200"/>
        <w:rPr>
          <w:rFonts w:hint="eastAsia"/>
        </w:rPr>
      </w:pPr>
      <w:r>
        <w:rPr>
          <w:rFonts w:hint="eastAsia"/>
        </w:rPr>
        <w:t>具有坚实的金属材料基础理论知识，有强化训练的热加工工艺设计知识，掌握最新的计算机辅助设计技术和计算机模拟工艺优化技术，具有进行热加工模具设计能力，了解现代企业管理体系（</w:t>
      </w:r>
      <w:r>
        <w:t>ISO9000</w:t>
      </w:r>
      <w:r>
        <w:rPr>
          <w:rFonts w:hint="eastAsia"/>
        </w:rPr>
        <w:t>），具有为企业产品进行工艺与模具设计服务的经历。</w:t>
      </w:r>
    </w:p>
    <w:p>
      <w:pPr>
        <w:spacing w:line="360" w:lineRule="auto"/>
        <w:ind w:firstLine="480" w:firstLineChars="200"/>
        <w:rPr>
          <w:sz w:val="24"/>
        </w:rPr>
      </w:pPr>
      <w:r>
        <w:rPr>
          <w:sz w:val="24"/>
        </w:rPr>
        <w:t>4</w:t>
      </w:r>
      <w:r>
        <w:rPr>
          <w:rFonts w:hint="eastAsia"/>
          <w:sz w:val="24"/>
        </w:rPr>
        <w:t>、</w:t>
      </w:r>
      <w:r>
        <w:rPr>
          <w:sz w:val="24"/>
        </w:rPr>
        <w:t xml:space="preserve"> </w:t>
      </w:r>
      <w:r>
        <w:rPr>
          <w:rFonts w:hint="eastAsia"/>
          <w:sz w:val="24"/>
        </w:rPr>
        <w:t>管理模式</w:t>
      </w:r>
    </w:p>
    <w:p>
      <w:pPr>
        <w:spacing w:line="360" w:lineRule="auto"/>
        <w:ind w:firstLine="482" w:firstLineChars="200"/>
        <w:rPr>
          <w:sz w:val="24"/>
        </w:rPr>
      </w:pPr>
      <w:r>
        <w:rPr>
          <w:b/>
          <w:sz w:val="24"/>
        </w:rPr>
        <w:t>1</w:t>
      </w:r>
      <w:r>
        <w:rPr>
          <w:rFonts w:hint="eastAsia"/>
          <w:b/>
          <w:sz w:val="24"/>
        </w:rPr>
        <w:t>）</w:t>
      </w:r>
      <w:r>
        <w:rPr>
          <w:rFonts w:hint="eastAsia" w:ascii="宋体" w:hAnsi="宋体"/>
          <w:b/>
          <w:sz w:val="24"/>
        </w:rPr>
        <w:t>实行单班运行管理模式。</w:t>
      </w:r>
      <w:r>
        <w:rPr>
          <w:rFonts w:hint="eastAsia"/>
          <w:bCs/>
          <w:sz w:val="24"/>
        </w:rPr>
        <w:t>“卓越班”</w:t>
      </w:r>
      <w:r>
        <w:rPr>
          <w:rFonts w:hint="eastAsia"/>
          <w:sz w:val="24"/>
        </w:rPr>
        <w:t>单独设立班级并进行学号编制，学院将密切跟踪学生的学习动态，以每学期为限，考核学生的学习效果。</w:t>
      </w:r>
    </w:p>
    <w:p>
      <w:pPr>
        <w:spacing w:line="360" w:lineRule="auto"/>
        <w:ind w:firstLine="482" w:firstLineChars="200"/>
        <w:rPr>
          <w:sz w:val="24"/>
        </w:rPr>
      </w:pPr>
      <w:r>
        <w:rPr>
          <w:b/>
          <w:sz w:val="24"/>
        </w:rPr>
        <w:t>2</w:t>
      </w:r>
      <w:r>
        <w:rPr>
          <w:rFonts w:hint="eastAsia"/>
          <w:b/>
          <w:sz w:val="24"/>
        </w:rPr>
        <w:t>）</w:t>
      </w:r>
      <w:r>
        <w:rPr>
          <w:rFonts w:ascii="宋体" w:hAnsi="宋体"/>
          <w:b/>
          <w:sz w:val="24"/>
        </w:rPr>
        <w:t xml:space="preserve"> </w:t>
      </w:r>
      <w:r>
        <w:rPr>
          <w:rFonts w:hint="eastAsia" w:ascii="宋体" w:hAnsi="宋体"/>
          <w:b/>
          <w:sz w:val="24"/>
        </w:rPr>
        <w:t>科学研究</w:t>
      </w:r>
      <w:r>
        <w:rPr>
          <w:rFonts w:hint="eastAsia"/>
          <w:b/>
          <w:sz w:val="24"/>
        </w:rPr>
        <w:t>实行导师制。</w:t>
      </w:r>
      <w:r>
        <w:rPr>
          <w:rFonts w:hint="eastAsia"/>
          <w:sz w:val="24"/>
        </w:rPr>
        <w:t>学生进入卓越班后，学院将为每个学生配备导师。导师为学生的成长进步负责，指导学生进行科学研究工作，为学生拟定科研方向，组织学生参与各类学术报告。</w:t>
      </w:r>
    </w:p>
    <w:p>
      <w:pPr>
        <w:spacing w:line="360" w:lineRule="auto"/>
        <w:ind w:firstLine="482" w:firstLineChars="200"/>
        <w:rPr>
          <w:b/>
          <w:sz w:val="24"/>
        </w:rPr>
      </w:pPr>
      <w:r>
        <w:rPr>
          <w:b/>
          <w:sz w:val="24"/>
        </w:rPr>
        <w:t>3</w:t>
      </w:r>
      <w:r>
        <w:rPr>
          <w:rFonts w:hint="eastAsia"/>
          <w:b/>
          <w:sz w:val="24"/>
        </w:rPr>
        <w:t>）</w:t>
      </w:r>
      <w:r>
        <w:rPr>
          <w:rFonts w:hint="eastAsia" w:ascii="宋体" w:hAnsi="宋体"/>
          <w:b/>
          <w:sz w:val="24"/>
        </w:rPr>
        <w:t>与企业双向互动培养模式</w:t>
      </w:r>
      <w:r>
        <w:rPr>
          <w:rFonts w:hint="eastAsia"/>
          <w:b/>
          <w:sz w:val="24"/>
        </w:rPr>
        <w:t>。</w:t>
      </w:r>
    </w:p>
    <w:p>
      <w:pPr>
        <w:spacing w:line="360" w:lineRule="auto"/>
        <w:ind w:firstLine="480" w:firstLineChars="200"/>
        <w:rPr>
          <w:rFonts w:ascii="宋体"/>
          <w:sz w:val="24"/>
        </w:rPr>
      </w:pPr>
      <w:r>
        <w:rPr>
          <w:rFonts w:hint="eastAsia" w:ascii="宋体" w:hAnsi="宋体"/>
          <w:sz w:val="24"/>
        </w:rPr>
        <w:t>第四、五学期的进行专业基础教育，突出热加工学科基础知识和工艺设计技术，强化模具设计技术，其中许多课程由企业富有实践工程经验的高级技术人员授课，通过系统训练，使学生能够以掌握的先进工艺及模具设计知识为企业服务，通过为企业服务，促进理论知识与实践的结合。</w:t>
      </w:r>
    </w:p>
    <w:p>
      <w:pPr>
        <w:spacing w:line="360" w:lineRule="auto"/>
        <w:ind w:firstLine="480" w:firstLineChars="200"/>
        <w:rPr>
          <w:rFonts w:ascii="宋体"/>
          <w:sz w:val="24"/>
        </w:rPr>
      </w:pPr>
      <w:r>
        <w:rPr>
          <w:rFonts w:hint="eastAsia" w:ascii="宋体" w:hAnsi="宋体"/>
          <w:sz w:val="24"/>
        </w:rPr>
        <w:t>第六学期去企业实践。</w:t>
      </w:r>
    </w:p>
    <w:p>
      <w:pPr>
        <w:spacing w:line="360" w:lineRule="auto"/>
        <w:ind w:firstLine="480" w:firstLineChars="200"/>
        <w:rPr>
          <w:rFonts w:ascii="宋体"/>
          <w:sz w:val="24"/>
        </w:rPr>
      </w:pPr>
      <w:r>
        <w:rPr>
          <w:rFonts w:hint="eastAsia" w:ascii="宋体" w:hAnsi="宋体"/>
          <w:sz w:val="24"/>
        </w:rPr>
        <w:t>第七八学期完成企业的工艺模具设计题目。通过卓越班的学习，培养以工艺与模具设计为突出特色的高级技术人才</w:t>
      </w:r>
    </w:p>
    <w:p>
      <w:pPr>
        <w:spacing w:line="360" w:lineRule="auto"/>
        <w:ind w:firstLine="480" w:firstLineChars="200"/>
        <w:rPr>
          <w:sz w:val="24"/>
        </w:rPr>
      </w:pPr>
      <w:r>
        <w:rPr>
          <w:rFonts w:hint="eastAsia" w:ascii="宋体" w:hAnsi="宋体"/>
          <w:sz w:val="24"/>
        </w:rPr>
        <w:t>学生还将参与校内科研基地的活动，贯穿于整个专业基础教育和专业教育全过程。学生将尽可能多地参与指导教师的科研和学术交流活动，充分利用校内重点科研基地的资源，完成各种工程实践训练，从而达到培养学生个性化科研能力的目的。</w:t>
      </w:r>
    </w:p>
    <w:p>
      <w:pPr>
        <w:spacing w:line="360" w:lineRule="auto"/>
        <w:ind w:firstLine="482" w:firstLineChars="200"/>
        <w:rPr>
          <w:sz w:val="24"/>
        </w:rPr>
      </w:pPr>
      <w:r>
        <w:rPr>
          <w:rFonts w:hint="eastAsia"/>
          <w:b/>
          <w:sz w:val="24"/>
        </w:rPr>
        <w:t>5</w:t>
      </w:r>
      <w:r>
        <w:rPr>
          <w:b/>
          <w:sz w:val="24"/>
        </w:rPr>
        <w:t>.</w:t>
      </w:r>
      <w:r>
        <w:rPr>
          <w:rFonts w:ascii="宋体" w:hAnsi="宋体"/>
          <w:b/>
          <w:sz w:val="24"/>
        </w:rPr>
        <w:t xml:space="preserve"> </w:t>
      </w:r>
      <w:r>
        <w:rPr>
          <w:rFonts w:hint="eastAsia" w:ascii="宋体" w:hAnsi="宋体"/>
          <w:b/>
          <w:sz w:val="24"/>
        </w:rPr>
        <w:t>高水平的教师队伍</w:t>
      </w:r>
      <w:r>
        <w:rPr>
          <w:rFonts w:hint="eastAsia"/>
          <w:b/>
          <w:sz w:val="24"/>
        </w:rPr>
        <w:t>。</w:t>
      </w:r>
      <w:r>
        <w:rPr>
          <w:rFonts w:hint="eastAsia"/>
          <w:sz w:val="24"/>
        </w:rPr>
        <w:t>卓越班将聘请</w:t>
      </w:r>
      <w:r>
        <w:rPr>
          <w:rFonts w:hint="eastAsia"/>
          <w:bCs/>
          <w:sz w:val="24"/>
        </w:rPr>
        <w:t>本学科领域</w:t>
      </w:r>
      <w:r>
        <w:rPr>
          <w:rFonts w:hint="eastAsia"/>
          <w:sz w:val="24"/>
        </w:rPr>
        <w:t>有较高学术造诣和丰富科研工作经验的教师授课。注重教学方法和创新思维训练，努力打造高水平的授课质量。</w:t>
      </w:r>
    </w:p>
    <w:p>
      <w:pPr>
        <w:pStyle w:val="2"/>
        <w:spacing w:line="360" w:lineRule="auto"/>
        <w:ind w:firstLine="482"/>
        <w:rPr>
          <w:sz w:val="24"/>
        </w:rPr>
      </w:pPr>
      <w:r>
        <w:rPr>
          <w:rFonts w:hint="eastAsia" w:ascii="Times New Roman" w:hAnsi="Times New Roman"/>
          <w:b/>
          <w:sz w:val="24"/>
        </w:rPr>
        <w:t>6</w:t>
      </w:r>
      <w:r>
        <w:rPr>
          <w:rFonts w:ascii="Times New Roman" w:hAnsi="Times New Roman"/>
          <w:b/>
          <w:sz w:val="24"/>
        </w:rPr>
        <w:t xml:space="preserve">. </w:t>
      </w:r>
      <w:r>
        <w:rPr>
          <w:rFonts w:hint="eastAsia" w:ascii="Times New Roman" w:hAnsi="Times New Roman"/>
          <w:b/>
          <w:sz w:val="24"/>
        </w:rPr>
        <w:t>动态管理机制。</w:t>
      </w:r>
      <w:r>
        <w:rPr>
          <w:rFonts w:hint="eastAsia"/>
          <w:bCs/>
          <w:sz w:val="24"/>
        </w:rPr>
        <w:t>卓越班</w:t>
      </w:r>
      <w:r>
        <w:rPr>
          <w:rFonts w:hint="eastAsia"/>
          <w:sz w:val="24"/>
        </w:rPr>
        <w:t>的学生应具有品学兼优品格，每学期都须对学生的学习和表现进行考核，实施优胜劣汰的单向动态管理。在执行《西安工业大学学籍管理条例》的基础上，出现下列情形之一时，学生应淘汰到原专业学习。</w:t>
      </w:r>
    </w:p>
    <w:p>
      <w:pPr>
        <w:pStyle w:val="2"/>
        <w:numPr>
          <w:ilvl w:val="1"/>
          <w:numId w:val="1"/>
        </w:numPr>
        <w:spacing w:line="360" w:lineRule="auto"/>
        <w:ind w:firstLineChars="0"/>
        <w:rPr>
          <w:sz w:val="24"/>
        </w:rPr>
      </w:pPr>
      <w:r>
        <w:rPr>
          <w:rFonts w:hint="eastAsia"/>
          <w:sz w:val="24"/>
        </w:rPr>
        <w:t>在第六学期以前经确认</w:t>
      </w:r>
      <w:r>
        <w:rPr>
          <w:rFonts w:hint="eastAsia"/>
          <w:bCs/>
          <w:sz w:val="24"/>
        </w:rPr>
        <w:t>“卓越班”</w:t>
      </w:r>
      <w:r>
        <w:rPr>
          <w:rFonts w:hint="eastAsia"/>
          <w:sz w:val="24"/>
        </w:rPr>
        <w:t>学生学习出现了障碍，适应不了</w:t>
      </w:r>
      <w:r>
        <w:rPr>
          <w:rFonts w:hint="eastAsia"/>
          <w:bCs/>
          <w:sz w:val="24"/>
        </w:rPr>
        <w:t>“卓越班”</w:t>
      </w:r>
      <w:r>
        <w:rPr>
          <w:rFonts w:hint="eastAsia"/>
          <w:sz w:val="24"/>
        </w:rPr>
        <w:t>的学习生活；</w:t>
      </w:r>
    </w:p>
    <w:p>
      <w:pPr>
        <w:pStyle w:val="2"/>
        <w:numPr>
          <w:ilvl w:val="1"/>
          <w:numId w:val="1"/>
        </w:numPr>
        <w:spacing w:line="360" w:lineRule="auto"/>
        <w:ind w:firstLineChars="0"/>
        <w:rPr>
          <w:sz w:val="24"/>
        </w:rPr>
      </w:pPr>
      <w:r>
        <w:rPr>
          <w:rFonts w:hint="eastAsia"/>
          <w:sz w:val="24"/>
        </w:rPr>
        <w:t>在第六学期以前经本人申请，领导小组批准可退出</w:t>
      </w:r>
      <w:r>
        <w:rPr>
          <w:rFonts w:hint="eastAsia"/>
          <w:bCs/>
          <w:sz w:val="24"/>
        </w:rPr>
        <w:t>“卓越班”学习</w:t>
      </w:r>
      <w:r>
        <w:rPr>
          <w:rFonts w:hint="eastAsia"/>
          <w:sz w:val="24"/>
        </w:rPr>
        <w:t>；</w:t>
      </w:r>
    </w:p>
    <w:p>
      <w:pPr>
        <w:pStyle w:val="2"/>
        <w:numPr>
          <w:ilvl w:val="1"/>
          <w:numId w:val="1"/>
        </w:numPr>
        <w:spacing w:line="360" w:lineRule="auto"/>
        <w:ind w:firstLineChars="0"/>
        <w:rPr>
          <w:sz w:val="24"/>
        </w:rPr>
      </w:pPr>
      <w:r>
        <w:rPr>
          <w:rFonts w:hint="eastAsia"/>
          <w:sz w:val="24"/>
        </w:rPr>
        <w:t>因各种原因受严重警告以上处分者。</w:t>
      </w:r>
    </w:p>
    <w:p>
      <w:pPr>
        <w:pStyle w:val="2"/>
        <w:spacing w:line="360" w:lineRule="auto"/>
        <w:ind w:firstLine="480"/>
        <w:rPr>
          <w:sz w:val="24"/>
        </w:rPr>
      </w:pPr>
      <w:r>
        <w:rPr>
          <w:rFonts w:hint="eastAsia"/>
          <w:sz w:val="24"/>
        </w:rPr>
        <w:t>进入第六学期后，学生不再退回原专业班级学习，实施降级制度，但必须在六年内完成学业。</w:t>
      </w:r>
    </w:p>
    <w:p>
      <w:pPr>
        <w:spacing w:line="360" w:lineRule="auto"/>
        <w:ind w:firstLine="472" w:firstLineChars="196"/>
        <w:rPr>
          <w:b/>
          <w:sz w:val="24"/>
        </w:rPr>
      </w:pPr>
      <w:r>
        <w:rPr>
          <w:rFonts w:hint="eastAsia"/>
          <w:b/>
          <w:sz w:val="24"/>
        </w:rPr>
        <w:t>7</w:t>
      </w:r>
      <w:r>
        <w:rPr>
          <w:b/>
          <w:sz w:val="24"/>
        </w:rPr>
        <w:t xml:space="preserve">. </w:t>
      </w:r>
      <w:r>
        <w:rPr>
          <w:rFonts w:hint="eastAsia"/>
          <w:b/>
          <w:sz w:val="24"/>
        </w:rPr>
        <w:t>奖励机制</w:t>
      </w:r>
    </w:p>
    <w:p>
      <w:pPr>
        <w:spacing w:line="360" w:lineRule="auto"/>
        <w:ind w:firstLine="480" w:firstLineChars="200"/>
        <w:rPr>
          <w:sz w:val="24"/>
        </w:rPr>
      </w:pPr>
      <w:r>
        <w:rPr>
          <w:rFonts w:hint="eastAsia"/>
          <w:bCs/>
          <w:sz w:val="24"/>
        </w:rPr>
        <w:t>卓越班</w:t>
      </w:r>
      <w:r>
        <w:rPr>
          <w:rFonts w:hint="eastAsia"/>
          <w:sz w:val="24"/>
        </w:rPr>
        <w:t>学生在学校规定的学期间可享受各类奖励与参加奖学金的评比。学生参加各类比赛获奖后，学院将视奖励层次与级别给予相应的奖励，</w:t>
      </w:r>
    </w:p>
    <w:p>
      <w:pPr>
        <w:spacing w:line="360" w:lineRule="auto"/>
        <w:ind w:firstLine="480" w:firstLineChars="200"/>
        <w:rPr>
          <w:sz w:val="24"/>
        </w:rPr>
      </w:pPr>
      <w:r>
        <w:rPr>
          <w:rFonts w:hint="eastAsia"/>
          <w:sz w:val="24"/>
        </w:rPr>
        <w:t>学生的奖学金的评选可放到全院学生范围内进行，且适当提高奖学金评选比例。</w:t>
      </w:r>
    </w:p>
    <w:p>
      <w:pPr>
        <w:spacing w:line="360" w:lineRule="auto"/>
        <w:ind w:firstLine="480" w:firstLineChars="200"/>
        <w:rPr>
          <w:sz w:val="24"/>
        </w:rPr>
      </w:pPr>
      <w:r>
        <w:rPr>
          <w:rFonts w:hint="eastAsia"/>
          <w:sz w:val="24"/>
        </w:rPr>
        <w:t>学生的其他奖励评选也放到全院学生范围内进行，名额可适当放宽。</w:t>
      </w:r>
    </w:p>
    <w:p>
      <w:pPr>
        <w:spacing w:line="500" w:lineRule="atLeast"/>
        <w:rPr>
          <w:rFonts w:ascii="宋体"/>
          <w:sz w:val="24"/>
        </w:rPr>
      </w:pPr>
      <w:r>
        <w:rPr>
          <w:rFonts w:hint="eastAsia" w:ascii="宋体" w:hAnsi="宋体"/>
          <w:b/>
          <w:sz w:val="28"/>
          <w:szCs w:val="28"/>
        </w:rPr>
        <w:t>二、招生范围及人数</w:t>
      </w:r>
    </w:p>
    <w:p>
      <w:pPr>
        <w:spacing w:line="500" w:lineRule="atLeast"/>
        <w:ind w:firstLine="480" w:firstLineChars="200"/>
        <w:rPr>
          <w:rFonts w:ascii="宋体"/>
          <w:sz w:val="24"/>
        </w:rPr>
      </w:pPr>
      <w:r>
        <w:rPr>
          <w:rFonts w:ascii="宋体" w:hAnsi="宋体"/>
          <w:sz w:val="24"/>
        </w:rPr>
        <w:t>1</w:t>
      </w:r>
      <w:r>
        <w:rPr>
          <w:rFonts w:hint="eastAsia" w:ascii="宋体" w:hAnsi="宋体"/>
          <w:sz w:val="24"/>
        </w:rPr>
        <w:t>．范围</w:t>
      </w:r>
    </w:p>
    <w:p>
      <w:pPr>
        <w:spacing w:line="500" w:lineRule="atLeast"/>
        <w:ind w:firstLine="480" w:firstLineChars="200"/>
        <w:rPr>
          <w:rFonts w:ascii="宋体"/>
          <w:sz w:val="24"/>
        </w:rPr>
      </w:pPr>
      <w:r>
        <w:rPr>
          <w:rFonts w:hint="eastAsia" w:ascii="宋体" w:hAnsi="宋体"/>
          <w:sz w:val="24"/>
        </w:rPr>
        <w:t>材料与化工学院金属材料工程卓越班面向材料学院各个专业招生，择优录取。</w:t>
      </w:r>
    </w:p>
    <w:p>
      <w:pPr>
        <w:spacing w:line="500" w:lineRule="atLeast"/>
        <w:ind w:firstLine="480" w:firstLineChars="200"/>
        <w:rPr>
          <w:rFonts w:ascii="宋体"/>
          <w:sz w:val="24"/>
        </w:rPr>
      </w:pPr>
      <w:r>
        <w:rPr>
          <w:rFonts w:ascii="宋体" w:hAnsi="宋体"/>
          <w:sz w:val="24"/>
        </w:rPr>
        <w:t>2</w:t>
      </w:r>
      <w:r>
        <w:rPr>
          <w:rFonts w:hint="eastAsia" w:ascii="宋体" w:hAnsi="宋体"/>
          <w:sz w:val="24"/>
        </w:rPr>
        <w:t>．人数</w:t>
      </w:r>
    </w:p>
    <w:p>
      <w:pPr>
        <w:spacing w:line="500" w:lineRule="atLeast"/>
        <w:ind w:firstLine="480" w:firstLineChars="200"/>
        <w:rPr>
          <w:rFonts w:ascii="宋体"/>
          <w:sz w:val="24"/>
        </w:rPr>
      </w:pPr>
      <w:r>
        <w:rPr>
          <w:rFonts w:hint="eastAsia" w:ascii="宋体" w:hAnsi="宋体"/>
          <w:sz w:val="24"/>
        </w:rPr>
        <w:t>招生人数不超过</w:t>
      </w:r>
      <w:r>
        <w:rPr>
          <w:rFonts w:ascii="宋体" w:hAnsi="宋体"/>
          <w:sz w:val="24"/>
        </w:rPr>
        <w:t>30</w:t>
      </w:r>
      <w:r>
        <w:rPr>
          <w:rFonts w:hint="eastAsia" w:ascii="宋体" w:hAnsi="宋体"/>
          <w:sz w:val="24"/>
        </w:rPr>
        <w:t>人，开班人数不低于</w:t>
      </w:r>
      <w:r>
        <w:rPr>
          <w:rFonts w:ascii="宋体" w:hAnsi="宋体"/>
          <w:sz w:val="24"/>
        </w:rPr>
        <w:t>20</w:t>
      </w:r>
      <w:r>
        <w:rPr>
          <w:rFonts w:hint="eastAsia" w:ascii="宋体" w:hAnsi="宋体"/>
          <w:sz w:val="24"/>
        </w:rPr>
        <w:t>人。实行单班运行管理模式。</w:t>
      </w:r>
    </w:p>
    <w:p>
      <w:pPr>
        <w:spacing w:line="500" w:lineRule="atLeast"/>
        <w:rPr>
          <w:rFonts w:ascii="宋体"/>
          <w:b/>
          <w:sz w:val="28"/>
          <w:szCs w:val="28"/>
        </w:rPr>
      </w:pPr>
      <w:r>
        <w:rPr>
          <w:rFonts w:hint="eastAsia" w:ascii="宋体" w:hAnsi="宋体"/>
          <w:b/>
          <w:sz w:val="28"/>
          <w:szCs w:val="28"/>
        </w:rPr>
        <w:t>三、招生条件</w:t>
      </w:r>
    </w:p>
    <w:p>
      <w:pPr>
        <w:spacing w:line="500" w:lineRule="atLeast"/>
        <w:ind w:firstLine="480" w:firstLineChars="200"/>
        <w:rPr>
          <w:rFonts w:ascii="宋体"/>
          <w:sz w:val="24"/>
        </w:rPr>
      </w:pPr>
      <w:r>
        <w:rPr>
          <w:rFonts w:ascii="宋体" w:hAnsi="宋体"/>
          <w:sz w:val="24"/>
        </w:rPr>
        <w:t>1</w:t>
      </w:r>
      <w:r>
        <w:rPr>
          <w:rFonts w:hint="eastAsia" w:ascii="宋体" w:hAnsi="宋体"/>
          <w:sz w:val="24"/>
        </w:rPr>
        <w:t>．德智体全面发展，品学兼优，综合素质好；</w:t>
      </w:r>
    </w:p>
    <w:p>
      <w:pPr>
        <w:spacing w:line="500" w:lineRule="atLeast"/>
        <w:ind w:firstLine="480" w:firstLineChars="200"/>
        <w:rPr>
          <w:rFonts w:ascii="宋体"/>
          <w:sz w:val="24"/>
        </w:rPr>
      </w:pPr>
      <w:r>
        <w:rPr>
          <w:rFonts w:ascii="宋体" w:hAnsi="宋体"/>
          <w:sz w:val="24"/>
        </w:rPr>
        <w:t>2</w:t>
      </w:r>
      <w:r>
        <w:rPr>
          <w:rFonts w:hint="eastAsia" w:ascii="宋体" w:hAnsi="宋体"/>
          <w:sz w:val="24"/>
        </w:rPr>
        <w:t>．具有较好的数理、英语基础；</w:t>
      </w:r>
    </w:p>
    <w:p>
      <w:pPr>
        <w:spacing w:line="500" w:lineRule="atLeast"/>
        <w:ind w:firstLine="480" w:firstLineChars="200"/>
        <w:rPr>
          <w:rFonts w:ascii="宋体"/>
          <w:sz w:val="24"/>
        </w:rPr>
      </w:pPr>
      <w:r>
        <w:rPr>
          <w:rFonts w:ascii="宋体" w:hAnsi="宋体"/>
          <w:sz w:val="24"/>
        </w:rPr>
        <w:t>3</w:t>
      </w:r>
      <w:r>
        <w:rPr>
          <w:rFonts w:hint="eastAsia" w:ascii="宋体" w:hAnsi="宋体"/>
          <w:sz w:val="24"/>
        </w:rPr>
        <w:t>．具有活跃思维、创新意识、主动实践基础；</w:t>
      </w:r>
    </w:p>
    <w:p>
      <w:pPr>
        <w:spacing w:line="500" w:lineRule="atLeast"/>
        <w:ind w:firstLine="480" w:firstLineChars="200"/>
        <w:rPr>
          <w:rFonts w:ascii="宋体"/>
          <w:sz w:val="24"/>
        </w:rPr>
      </w:pPr>
      <w:r>
        <w:rPr>
          <w:rFonts w:ascii="宋体" w:hAnsi="宋体"/>
          <w:sz w:val="24"/>
        </w:rPr>
        <w:t>4</w:t>
      </w:r>
      <w:r>
        <w:rPr>
          <w:rFonts w:hint="eastAsia" w:ascii="宋体" w:hAnsi="宋体"/>
          <w:sz w:val="24"/>
        </w:rPr>
        <w:t>．具有较强的主动学习能力；</w:t>
      </w:r>
    </w:p>
    <w:p>
      <w:pPr>
        <w:spacing w:line="500" w:lineRule="atLeast"/>
        <w:ind w:firstLine="480" w:firstLineChars="200"/>
        <w:rPr>
          <w:rFonts w:ascii="宋体"/>
          <w:sz w:val="24"/>
        </w:rPr>
      </w:pPr>
      <w:r>
        <w:rPr>
          <w:rFonts w:ascii="宋体" w:hAnsi="宋体"/>
          <w:sz w:val="24"/>
        </w:rPr>
        <w:t>5</w:t>
      </w:r>
      <w:r>
        <w:rPr>
          <w:rFonts w:hint="eastAsia" w:ascii="宋体" w:hAnsi="宋体"/>
          <w:sz w:val="24"/>
        </w:rPr>
        <w:t>．有较强的口头和书面表达能力；</w:t>
      </w:r>
    </w:p>
    <w:p>
      <w:pPr>
        <w:spacing w:line="500" w:lineRule="exact"/>
        <w:ind w:firstLine="480" w:firstLineChars="200"/>
        <w:rPr>
          <w:rFonts w:ascii="宋体"/>
          <w:sz w:val="24"/>
        </w:rPr>
      </w:pPr>
      <w:r>
        <w:rPr>
          <w:rFonts w:ascii="宋体" w:hAnsi="宋体"/>
          <w:sz w:val="24"/>
        </w:rPr>
        <w:t>6</w:t>
      </w:r>
      <w:r>
        <w:rPr>
          <w:rFonts w:hint="eastAsia" w:ascii="宋体" w:hAnsi="宋体"/>
          <w:sz w:val="24"/>
        </w:rPr>
        <w:t>．参加过课外科技活动，或获得过国家级竞赛奖项，或拥有国家专利者，或通过大学外语四、六级考试者优先考虑；</w:t>
      </w:r>
    </w:p>
    <w:p>
      <w:pPr>
        <w:spacing w:line="500" w:lineRule="exact"/>
        <w:ind w:firstLine="480" w:firstLineChars="200"/>
        <w:rPr>
          <w:rFonts w:ascii="宋体"/>
          <w:sz w:val="24"/>
        </w:rPr>
      </w:pPr>
      <w:r>
        <w:rPr>
          <w:rFonts w:ascii="宋体" w:hAnsi="宋体"/>
          <w:sz w:val="24"/>
        </w:rPr>
        <w:t>7.</w:t>
      </w:r>
      <w:r>
        <w:rPr>
          <w:rFonts w:hint="eastAsia" w:ascii="宋体" w:hAnsi="宋体"/>
          <w:sz w:val="24"/>
        </w:rPr>
        <w:t>对开设的卓越班有较强的兴趣；具有良好的学风和团队精神，综合素质较高。</w:t>
      </w:r>
    </w:p>
    <w:p>
      <w:pPr>
        <w:spacing w:line="500" w:lineRule="atLeast"/>
        <w:ind w:firstLine="480" w:firstLineChars="200"/>
        <w:rPr>
          <w:rFonts w:ascii="宋体"/>
          <w:sz w:val="24"/>
        </w:rPr>
      </w:pPr>
      <w:r>
        <w:rPr>
          <w:rFonts w:ascii="宋体" w:hAnsi="宋体"/>
          <w:sz w:val="24"/>
        </w:rPr>
        <w:t>8</w:t>
      </w:r>
      <w:r>
        <w:rPr>
          <w:rFonts w:hint="eastAsia" w:ascii="宋体" w:hAnsi="宋体"/>
          <w:sz w:val="24"/>
        </w:rPr>
        <w:t>．原则上申报者应交齐学校要求的各种费用方可报名；</w:t>
      </w:r>
    </w:p>
    <w:p>
      <w:pPr>
        <w:spacing w:line="500" w:lineRule="atLeast"/>
        <w:ind w:firstLine="480" w:firstLineChars="200"/>
        <w:rPr>
          <w:rFonts w:ascii="宋体"/>
          <w:sz w:val="24"/>
        </w:rPr>
      </w:pPr>
      <w:r>
        <w:rPr>
          <w:rFonts w:ascii="宋体" w:hAnsi="宋体"/>
          <w:sz w:val="24"/>
        </w:rPr>
        <w:t xml:space="preserve">9. </w:t>
      </w:r>
      <w:r>
        <w:rPr>
          <w:rFonts w:hint="eastAsia" w:ascii="宋体" w:hAnsi="宋体"/>
          <w:sz w:val="24"/>
        </w:rPr>
        <w:t>有特殊贡献者。</w:t>
      </w:r>
    </w:p>
    <w:p>
      <w:pPr>
        <w:spacing w:line="500" w:lineRule="atLeast"/>
        <w:rPr>
          <w:rFonts w:ascii="宋体"/>
          <w:b/>
          <w:sz w:val="28"/>
          <w:szCs w:val="28"/>
        </w:rPr>
      </w:pPr>
      <w:r>
        <w:rPr>
          <w:rFonts w:hint="eastAsia" w:ascii="宋体" w:hAnsi="宋体"/>
          <w:b/>
          <w:sz w:val="28"/>
          <w:szCs w:val="28"/>
        </w:rPr>
        <w:t>四、招生程序</w:t>
      </w:r>
    </w:p>
    <w:p>
      <w:pPr>
        <w:spacing w:line="500" w:lineRule="atLeast"/>
        <w:ind w:firstLine="480" w:firstLineChars="200"/>
        <w:rPr>
          <w:rFonts w:ascii="宋体"/>
          <w:sz w:val="24"/>
        </w:rPr>
      </w:pPr>
      <w:r>
        <w:rPr>
          <w:rFonts w:hint="eastAsia" w:ascii="宋体" w:hAnsi="宋体"/>
          <w:sz w:val="24"/>
        </w:rPr>
        <w:t>凡符合“卓越班”招生条件的材料与化工学院</w:t>
      </w:r>
      <w:r>
        <w:rPr>
          <w:rFonts w:ascii="宋体" w:hAnsi="宋体"/>
          <w:sz w:val="24"/>
        </w:rPr>
        <w:t>2017</w:t>
      </w:r>
      <w:r>
        <w:rPr>
          <w:rFonts w:hint="eastAsia" w:ascii="宋体" w:hAnsi="宋体"/>
          <w:sz w:val="24"/>
        </w:rPr>
        <w:t>级本科生均可申请报名。招生程序如下：</w:t>
      </w:r>
    </w:p>
    <w:p>
      <w:pPr>
        <w:spacing w:line="500" w:lineRule="atLeast"/>
        <w:ind w:firstLine="480" w:firstLineChars="200"/>
        <w:rPr>
          <w:rFonts w:ascii="宋体"/>
          <w:sz w:val="24"/>
        </w:rPr>
      </w:pPr>
      <w:r>
        <w:rPr>
          <w:rFonts w:ascii="宋体" w:hAnsi="宋体"/>
          <w:sz w:val="24"/>
        </w:rPr>
        <w:t>1</w:t>
      </w:r>
      <w:r>
        <w:rPr>
          <w:rFonts w:hint="eastAsia" w:ascii="宋体" w:hAnsi="宋体"/>
          <w:sz w:val="24"/>
        </w:rPr>
        <w:t>．报名：具体时间见教改学院通知。本人自愿向学院提出书面申请，认真填写《西安工业大学材料与化工学院“金属材料工程”卓越班申请表》。</w:t>
      </w:r>
    </w:p>
    <w:p>
      <w:pPr>
        <w:spacing w:line="500" w:lineRule="atLeast"/>
        <w:ind w:firstLine="480" w:firstLineChars="200"/>
        <w:rPr>
          <w:rFonts w:ascii="宋体"/>
          <w:sz w:val="24"/>
        </w:rPr>
      </w:pPr>
      <w:r>
        <w:rPr>
          <w:rFonts w:ascii="宋体" w:hAnsi="宋体"/>
          <w:sz w:val="24"/>
        </w:rPr>
        <w:t>2</w:t>
      </w:r>
      <w:r>
        <w:rPr>
          <w:rFonts w:hint="eastAsia" w:ascii="宋体" w:hAnsi="宋体"/>
          <w:sz w:val="24"/>
        </w:rPr>
        <w:t>．资格审查：卓越班领导小组负责审核申请资格。并择优确定参加复试人员名单</w:t>
      </w:r>
      <w:r>
        <w:rPr>
          <w:rFonts w:ascii="宋体" w:hAnsi="宋体"/>
          <w:sz w:val="24"/>
        </w:rPr>
        <w:t xml:space="preserve"> </w:t>
      </w:r>
    </w:p>
    <w:p>
      <w:pPr>
        <w:spacing w:line="500" w:lineRule="atLeast"/>
        <w:ind w:firstLine="480" w:firstLineChars="200"/>
        <w:rPr>
          <w:rFonts w:ascii="宋体"/>
          <w:sz w:val="24"/>
        </w:rPr>
      </w:pPr>
      <w:r>
        <w:rPr>
          <w:rFonts w:ascii="宋体" w:hAnsi="宋体"/>
          <w:sz w:val="24"/>
        </w:rPr>
        <w:t>3</w:t>
      </w:r>
      <w:r>
        <w:rPr>
          <w:rFonts w:hint="eastAsia" w:ascii="宋体" w:hAnsi="宋体"/>
          <w:sz w:val="24"/>
        </w:rPr>
        <w:t>．综合能力测试：综合能力测试涵盖工科基础能力、心理素质、组织领导才能、创新能力、工程实践能力、沟通能力、语言表达能力等方面。采取面试方式。根据成绩排名，择优初录。</w:t>
      </w:r>
    </w:p>
    <w:p>
      <w:pPr>
        <w:spacing w:line="500" w:lineRule="atLeast"/>
        <w:ind w:firstLine="480" w:firstLineChars="200"/>
        <w:rPr>
          <w:rFonts w:ascii="宋体"/>
          <w:sz w:val="24"/>
        </w:rPr>
      </w:pPr>
      <w:r>
        <w:rPr>
          <w:rFonts w:ascii="宋体" w:hAnsi="宋体"/>
          <w:sz w:val="24"/>
        </w:rPr>
        <w:t>4</w:t>
      </w:r>
      <w:r>
        <w:rPr>
          <w:rFonts w:hint="eastAsia" w:ascii="宋体" w:hAnsi="宋体"/>
          <w:sz w:val="24"/>
        </w:rPr>
        <w:t>．公示：拟录取人选经领导小组认定后，在全院范围内公示。</w:t>
      </w:r>
    </w:p>
    <w:p>
      <w:pPr>
        <w:spacing w:line="500" w:lineRule="atLeast"/>
        <w:ind w:firstLine="477" w:firstLineChars="199"/>
        <w:rPr>
          <w:rFonts w:ascii="宋体"/>
          <w:sz w:val="24"/>
        </w:rPr>
      </w:pPr>
      <w:r>
        <w:rPr>
          <w:rFonts w:ascii="宋体" w:hAnsi="宋体"/>
          <w:sz w:val="24"/>
        </w:rPr>
        <w:t>5</w:t>
      </w:r>
      <w:r>
        <w:rPr>
          <w:rFonts w:hint="eastAsia" w:ascii="宋体" w:hAnsi="宋体"/>
          <w:sz w:val="24"/>
        </w:rPr>
        <w:t>．开班：“卓越班”学生名单经公示后，由学校正式发文，学院进行“卓越班”开班仪式，然后正式按“卓越班”人才培养方案进行培养。</w:t>
      </w:r>
    </w:p>
    <w:p>
      <w:pPr>
        <w:spacing w:line="500" w:lineRule="atLeast"/>
        <w:rPr>
          <w:rFonts w:ascii="宋体"/>
          <w:b/>
          <w:bCs/>
          <w:sz w:val="28"/>
          <w:szCs w:val="28"/>
        </w:rPr>
      </w:pPr>
      <w:r>
        <w:rPr>
          <w:rFonts w:hint="eastAsia" w:ascii="宋体" w:hAnsi="宋体"/>
          <w:b/>
          <w:bCs/>
          <w:sz w:val="28"/>
          <w:szCs w:val="28"/>
        </w:rPr>
        <w:t>五、学制与专业</w:t>
      </w:r>
    </w:p>
    <w:p>
      <w:pPr>
        <w:spacing w:line="500" w:lineRule="atLeast"/>
        <w:ind w:firstLine="480"/>
        <w:rPr>
          <w:rFonts w:ascii="宋体"/>
          <w:sz w:val="24"/>
        </w:rPr>
      </w:pPr>
      <w:r>
        <w:rPr>
          <w:rFonts w:hint="eastAsia" w:ascii="宋体" w:hAnsi="宋体"/>
          <w:sz w:val="24"/>
        </w:rPr>
        <w:t>总学制四年，进入卓越班学习后，执行卓越班培养计划。</w:t>
      </w:r>
    </w:p>
    <w:p>
      <w:pPr>
        <w:spacing w:line="500" w:lineRule="atLeast"/>
        <w:ind w:firstLine="480"/>
        <w:rPr>
          <w:rFonts w:ascii="宋体"/>
          <w:sz w:val="24"/>
        </w:rPr>
      </w:pPr>
      <w:r>
        <w:rPr>
          <w:rFonts w:hint="eastAsia" w:ascii="宋体" w:hAnsi="宋体"/>
          <w:sz w:val="24"/>
        </w:rPr>
        <w:t>专业证书颁发，按照“西安工业大学学籍管理规定”，对于毕业符合条件者颁发毕业证书及授予学士学位证书。毕业证书和学士学位按“金属材料工程”专业颁发和授予。</w:t>
      </w:r>
    </w:p>
    <w:p>
      <w:pPr>
        <w:spacing w:line="500" w:lineRule="atLeast"/>
        <w:rPr>
          <w:rFonts w:ascii="宋体"/>
          <w:b/>
          <w:bCs/>
          <w:sz w:val="28"/>
          <w:szCs w:val="28"/>
        </w:rPr>
      </w:pPr>
      <w:r>
        <w:rPr>
          <w:rFonts w:hint="eastAsia" w:ascii="宋体" w:hAnsi="宋体"/>
          <w:b/>
          <w:bCs/>
          <w:sz w:val="28"/>
          <w:szCs w:val="28"/>
        </w:rPr>
        <w:t>六、其他</w:t>
      </w:r>
    </w:p>
    <w:p>
      <w:pPr>
        <w:spacing w:line="500" w:lineRule="atLeast"/>
        <w:ind w:firstLine="480" w:firstLineChars="200"/>
        <w:rPr>
          <w:rFonts w:ascii="宋体"/>
          <w:sz w:val="24"/>
        </w:rPr>
      </w:pPr>
      <w:r>
        <w:rPr>
          <w:rFonts w:ascii="宋体" w:hAnsi="宋体"/>
          <w:sz w:val="24"/>
        </w:rPr>
        <w:t>1</w:t>
      </w:r>
      <w:r>
        <w:rPr>
          <w:rFonts w:hint="eastAsia" w:ascii="宋体" w:hAnsi="宋体"/>
          <w:sz w:val="24"/>
        </w:rPr>
        <w:t>．请报名的同学准备一张一寸免冠相片，贴在“申请表”上。</w:t>
      </w:r>
    </w:p>
    <w:p>
      <w:pPr>
        <w:spacing w:line="500" w:lineRule="atLeast"/>
        <w:ind w:firstLine="480" w:firstLineChars="200"/>
        <w:rPr>
          <w:rFonts w:ascii="宋体"/>
          <w:sz w:val="24"/>
        </w:rPr>
      </w:pPr>
      <w:r>
        <w:rPr>
          <w:rFonts w:ascii="宋体" w:hAnsi="宋体"/>
          <w:sz w:val="24"/>
        </w:rPr>
        <w:t>2</w:t>
      </w:r>
      <w:r>
        <w:rPr>
          <w:rFonts w:hint="eastAsia" w:ascii="宋体" w:hAnsi="宋体"/>
          <w:sz w:val="24"/>
        </w:rPr>
        <w:t>．学校免收报名费。</w:t>
      </w:r>
    </w:p>
    <w:p>
      <w:pPr>
        <w:spacing w:line="500" w:lineRule="atLeast"/>
        <w:ind w:firstLine="480" w:firstLineChars="200"/>
        <w:rPr>
          <w:rFonts w:ascii="宋体"/>
          <w:sz w:val="24"/>
        </w:rPr>
      </w:pPr>
      <w:r>
        <w:rPr>
          <w:rFonts w:ascii="宋体" w:hAnsi="宋体"/>
          <w:sz w:val="24"/>
        </w:rPr>
        <w:t>3</w:t>
      </w:r>
      <w:r>
        <w:rPr>
          <w:rFonts w:hint="eastAsia" w:ascii="宋体" w:hAnsi="宋体"/>
          <w:sz w:val="24"/>
        </w:rPr>
        <w:t>．“卓越班”学费及其它费用按相关专业的学费标准收取。</w:t>
      </w:r>
    </w:p>
    <w:p>
      <w:pPr>
        <w:spacing w:line="500" w:lineRule="atLeast"/>
        <w:ind w:firstLine="480" w:firstLineChars="200"/>
        <w:rPr>
          <w:rFonts w:ascii="宋体"/>
          <w:sz w:val="24"/>
        </w:rPr>
      </w:pPr>
      <w:r>
        <w:rPr>
          <w:rFonts w:ascii="宋体" w:hAnsi="宋体"/>
          <w:sz w:val="24"/>
        </w:rPr>
        <w:t>4</w:t>
      </w:r>
      <w:r>
        <w:rPr>
          <w:rFonts w:hint="eastAsia" w:ascii="宋体" w:hAnsi="宋体"/>
          <w:sz w:val="24"/>
        </w:rPr>
        <w:t>．被批准进入“卓越班”学习的学生，按学校规定统一办理学籍手续。</w:t>
      </w:r>
    </w:p>
    <w:p>
      <w:pPr>
        <w:spacing w:line="500" w:lineRule="atLeast"/>
        <w:rPr>
          <w:rFonts w:hint="eastAsia"/>
        </w:rPr>
      </w:pPr>
      <w:r>
        <w:rPr>
          <w:rFonts w:hint="eastAsia" w:ascii="宋体" w:hAnsi="宋体"/>
          <w:sz w:val="24"/>
        </w:rPr>
        <w:t>附件：</w:t>
      </w:r>
      <w:r>
        <w:fldChar w:fldCharType="begin"/>
      </w:r>
      <w:r>
        <w:instrText xml:space="preserve"> HYPERLINK "http://www.fosu.edu.cn/jiaowu/jwcjwc/UpLoadFiles/bgxz/2009-9/2009090911063812321.doc" </w:instrText>
      </w:r>
      <w:r>
        <w:fldChar w:fldCharType="separate"/>
      </w:r>
      <w:r>
        <w:rPr>
          <w:rStyle w:val="5"/>
          <w:rFonts w:hint="eastAsia" w:ascii="宋体" w:hAnsi="宋体"/>
          <w:sz w:val="24"/>
        </w:rPr>
        <w:t>《西安工业大学材料与化工学院卓越班申请表》</w:t>
      </w:r>
      <w:r>
        <w:rPr>
          <w:rStyle w:val="5"/>
          <w:rFonts w:hint="eastAsia" w:ascii="宋体" w:hAnsi="宋体"/>
          <w:sz w:val="24"/>
        </w:rPr>
        <w:fldChar w:fldCharType="end"/>
      </w:r>
    </w:p>
    <w:p>
      <w:pPr>
        <w:spacing w:line="500" w:lineRule="atLeast"/>
        <w:rPr>
          <w:rFonts w:hint="eastAsia"/>
        </w:rPr>
      </w:pPr>
    </w:p>
    <w:p>
      <w:pPr>
        <w:spacing w:line="500" w:lineRule="atLeast"/>
        <w:rPr>
          <w:rFonts w:hint="eastAsia"/>
        </w:rPr>
      </w:pPr>
    </w:p>
    <w:p>
      <w:pPr>
        <w:spacing w:line="500" w:lineRule="atLeast"/>
        <w:rPr>
          <w:rFonts w:hint="eastAsia"/>
        </w:rPr>
      </w:pPr>
    </w:p>
    <w:p>
      <w:pPr>
        <w:spacing w:line="500" w:lineRule="atLeast"/>
        <w:rPr>
          <w:rFonts w:hint="eastAsia"/>
        </w:rPr>
      </w:pPr>
    </w:p>
    <w:p>
      <w:pPr>
        <w:spacing w:line="500" w:lineRule="atLeast"/>
        <w:rPr>
          <w:rFonts w:hint="eastAsia"/>
        </w:rPr>
      </w:pPr>
    </w:p>
    <w:p>
      <w:pPr>
        <w:spacing w:line="500" w:lineRule="atLeast"/>
        <w:rPr>
          <w:rFonts w:hint="eastAsia"/>
        </w:rPr>
      </w:pPr>
      <w:bookmarkStart w:id="4" w:name="_GoBack"/>
      <w:bookmarkEnd w:id="4"/>
    </w:p>
    <w:p>
      <w:pPr>
        <w:rPr>
          <w:rFonts w:hint="eastAsia"/>
        </w:rPr>
      </w:pPr>
      <w:r>
        <w:rPr>
          <w:rFonts w:hint="eastAsia"/>
        </w:rPr>
        <w:t>附件（本表必须正反面打印方可有效）</w:t>
      </w:r>
    </w:p>
    <w:p>
      <w:pPr>
        <w:spacing w:line="360" w:lineRule="auto"/>
        <w:jc w:val="center"/>
        <w:rPr>
          <w:rFonts w:hint="eastAsia" w:ascii="黑体" w:eastAsia="黑体"/>
          <w:b/>
          <w:sz w:val="36"/>
          <w:szCs w:val="36"/>
        </w:rPr>
      </w:pPr>
      <w:r>
        <w:rPr>
          <w:rFonts w:hint="eastAsia" w:ascii="黑体" w:eastAsia="黑体"/>
          <w:b/>
          <w:sz w:val="36"/>
          <w:szCs w:val="36"/>
        </w:rPr>
        <w:t>西安工业大学材料与化工学院</w:t>
      </w:r>
    </w:p>
    <w:p>
      <w:pPr>
        <w:spacing w:line="360" w:lineRule="auto"/>
        <w:jc w:val="center"/>
        <w:rPr>
          <w:rFonts w:hint="eastAsia" w:eastAsia="楷体_GB2312"/>
          <w:b/>
          <w:sz w:val="36"/>
          <w:szCs w:val="30"/>
        </w:rPr>
      </w:pPr>
      <w:r>
        <w:rPr>
          <w:rFonts w:hint="eastAsia"/>
          <w:b/>
          <w:bCs/>
          <w:sz w:val="36"/>
          <w:szCs w:val="36"/>
        </w:rPr>
        <w:t>“金属材料工程”</w:t>
      </w:r>
      <w:r>
        <w:rPr>
          <w:rFonts w:hint="eastAsia" w:ascii="黑体" w:eastAsia="黑体"/>
          <w:b/>
          <w:sz w:val="36"/>
          <w:szCs w:val="30"/>
        </w:rPr>
        <w:t>卓越班报名</w:t>
      </w:r>
      <w:r>
        <w:rPr>
          <w:rFonts w:hint="eastAsia" w:ascii="黑体" w:eastAsia="黑体"/>
          <w:b/>
          <w:bCs/>
          <w:sz w:val="36"/>
        </w:rPr>
        <w:t>申请表</w:t>
      </w:r>
    </w:p>
    <w:tbl>
      <w:tblPr>
        <w:tblStyle w:val="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65"/>
        <w:gridCol w:w="169"/>
        <w:gridCol w:w="415"/>
        <w:gridCol w:w="667"/>
        <w:gridCol w:w="722"/>
        <w:gridCol w:w="231"/>
        <w:gridCol w:w="498"/>
        <w:gridCol w:w="570"/>
        <w:gridCol w:w="690"/>
        <w:gridCol w:w="582"/>
        <w:gridCol w:w="168"/>
        <w:gridCol w:w="360"/>
        <w:gridCol w:w="534"/>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339" w:type="dxa"/>
            <w:vAlign w:val="center"/>
          </w:tcPr>
          <w:p>
            <w:pPr>
              <w:tabs>
                <w:tab w:val="left" w:pos="1080"/>
              </w:tabs>
              <w:jc w:val="center"/>
              <w:rPr>
                <w:rFonts w:hint="eastAsia" w:eastAsia="黑体"/>
                <w:sz w:val="24"/>
              </w:rPr>
            </w:pPr>
            <w:r>
              <w:rPr>
                <w:rFonts w:hint="eastAsia" w:eastAsia="黑体"/>
                <w:sz w:val="24"/>
              </w:rPr>
              <w:t>学生姓名</w:t>
            </w:r>
          </w:p>
        </w:tc>
        <w:tc>
          <w:tcPr>
            <w:tcW w:w="1416" w:type="dxa"/>
            <w:gridSpan w:val="4"/>
            <w:vAlign w:val="center"/>
          </w:tcPr>
          <w:p>
            <w:pPr>
              <w:tabs>
                <w:tab w:val="left" w:pos="1080"/>
              </w:tabs>
              <w:spacing w:line="360" w:lineRule="auto"/>
              <w:ind w:firstLine="153" w:firstLineChars="64"/>
              <w:jc w:val="center"/>
              <w:rPr>
                <w:rFonts w:hint="eastAsia" w:eastAsia="黑体"/>
                <w:sz w:val="24"/>
              </w:rPr>
            </w:pPr>
          </w:p>
        </w:tc>
        <w:tc>
          <w:tcPr>
            <w:tcW w:w="722" w:type="dxa"/>
            <w:vAlign w:val="center"/>
          </w:tcPr>
          <w:p>
            <w:pPr>
              <w:tabs>
                <w:tab w:val="left" w:pos="1080"/>
              </w:tabs>
              <w:spacing w:line="360" w:lineRule="auto"/>
              <w:jc w:val="center"/>
              <w:rPr>
                <w:rFonts w:hint="eastAsia" w:eastAsia="黑体"/>
                <w:sz w:val="24"/>
              </w:rPr>
            </w:pPr>
            <w:r>
              <w:rPr>
                <w:rFonts w:hint="eastAsia" w:eastAsia="黑体"/>
                <w:sz w:val="24"/>
              </w:rPr>
              <w:t>性别</w:t>
            </w:r>
          </w:p>
        </w:tc>
        <w:tc>
          <w:tcPr>
            <w:tcW w:w="729" w:type="dxa"/>
            <w:gridSpan w:val="2"/>
            <w:vAlign w:val="center"/>
          </w:tcPr>
          <w:p>
            <w:pPr>
              <w:tabs>
                <w:tab w:val="left" w:pos="1080"/>
              </w:tabs>
              <w:spacing w:line="360" w:lineRule="auto"/>
              <w:ind w:firstLine="153" w:firstLineChars="64"/>
              <w:jc w:val="center"/>
              <w:rPr>
                <w:rFonts w:hint="eastAsia" w:eastAsia="黑体"/>
                <w:sz w:val="24"/>
              </w:rPr>
            </w:pPr>
          </w:p>
        </w:tc>
        <w:tc>
          <w:tcPr>
            <w:tcW w:w="1260" w:type="dxa"/>
            <w:gridSpan w:val="2"/>
            <w:vAlign w:val="center"/>
          </w:tcPr>
          <w:p>
            <w:pPr>
              <w:tabs>
                <w:tab w:val="left" w:pos="1080"/>
              </w:tabs>
              <w:spacing w:line="360" w:lineRule="auto"/>
              <w:jc w:val="center"/>
              <w:rPr>
                <w:rFonts w:hint="eastAsia" w:ascii="黑体" w:eastAsia="黑体"/>
                <w:sz w:val="24"/>
              </w:rPr>
            </w:pPr>
            <w:r>
              <w:rPr>
                <w:rFonts w:hint="eastAsia" w:ascii="黑体" w:eastAsia="黑体"/>
                <w:sz w:val="24"/>
              </w:rPr>
              <w:t>出生年月</w:t>
            </w:r>
          </w:p>
        </w:tc>
        <w:tc>
          <w:tcPr>
            <w:tcW w:w="1644" w:type="dxa"/>
            <w:gridSpan w:val="4"/>
            <w:vAlign w:val="center"/>
          </w:tcPr>
          <w:p>
            <w:pPr>
              <w:tabs>
                <w:tab w:val="left" w:pos="1080"/>
              </w:tabs>
              <w:spacing w:line="360" w:lineRule="auto"/>
              <w:ind w:firstLine="153" w:firstLineChars="64"/>
              <w:jc w:val="center"/>
              <w:rPr>
                <w:rFonts w:hint="eastAsia" w:ascii="黑体" w:eastAsia="黑体"/>
                <w:sz w:val="24"/>
              </w:rPr>
            </w:pPr>
          </w:p>
        </w:tc>
        <w:tc>
          <w:tcPr>
            <w:tcW w:w="1638" w:type="dxa"/>
            <w:vMerge w:val="restart"/>
            <w:vAlign w:val="center"/>
          </w:tcPr>
          <w:p>
            <w:pPr>
              <w:jc w:val="center"/>
              <w:rPr>
                <w:rFonts w:hint="eastAsia" w:ascii="黑体" w:eastAsia="黑体"/>
                <w:sz w:val="24"/>
              </w:rPr>
            </w:pPr>
            <w:r>
              <w:rPr>
                <w:rFonts w:hint="eastAsia" w:ascii="黑体" w:eastAsia="黑体"/>
                <w:sz w:val="24"/>
              </w:rPr>
              <w:t>照片</w:t>
            </w:r>
          </w:p>
          <w:p>
            <w:pPr>
              <w:jc w:val="center"/>
              <w:rPr>
                <w:rFonts w:hint="eastAsia" w:eastAsia="楷体_GB2312"/>
                <w:sz w:val="24"/>
              </w:rPr>
            </w:pPr>
            <w:r>
              <w:rPr>
                <w:rFonts w:hint="eastAsia" w:ascii="黑体" w:eastAsia="黑体"/>
                <w:sz w:val="24"/>
              </w:rPr>
              <w:t>（一寸彩色</w:t>
            </w:r>
            <w:r>
              <w:rPr>
                <w:rFonts w:hint="eastAsia"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339" w:type="dxa"/>
            <w:vAlign w:val="center"/>
          </w:tcPr>
          <w:p>
            <w:pPr>
              <w:jc w:val="center"/>
              <w:rPr>
                <w:rFonts w:hint="eastAsia" w:eastAsia="黑体"/>
                <w:sz w:val="24"/>
              </w:rPr>
            </w:pPr>
            <w:r>
              <w:rPr>
                <w:rFonts w:hint="eastAsia" w:eastAsia="黑体"/>
                <w:sz w:val="24"/>
              </w:rPr>
              <w:t>籍贯</w:t>
            </w:r>
          </w:p>
        </w:tc>
        <w:tc>
          <w:tcPr>
            <w:tcW w:w="2138" w:type="dxa"/>
            <w:gridSpan w:val="5"/>
            <w:vAlign w:val="center"/>
          </w:tcPr>
          <w:p>
            <w:pPr>
              <w:jc w:val="center"/>
              <w:rPr>
                <w:rFonts w:hint="eastAsia" w:eastAsia="黑体"/>
                <w:sz w:val="24"/>
              </w:rPr>
            </w:pPr>
          </w:p>
        </w:tc>
        <w:tc>
          <w:tcPr>
            <w:tcW w:w="729" w:type="dxa"/>
            <w:gridSpan w:val="2"/>
            <w:vAlign w:val="center"/>
          </w:tcPr>
          <w:p>
            <w:pPr>
              <w:jc w:val="center"/>
              <w:rPr>
                <w:rFonts w:hint="eastAsia" w:eastAsia="黑体"/>
                <w:sz w:val="24"/>
              </w:rPr>
            </w:pPr>
            <w:r>
              <w:rPr>
                <w:rFonts w:hint="eastAsia" w:eastAsia="黑体"/>
                <w:sz w:val="24"/>
              </w:rPr>
              <w:t>民族</w:t>
            </w:r>
          </w:p>
        </w:tc>
        <w:tc>
          <w:tcPr>
            <w:tcW w:w="570" w:type="dxa"/>
            <w:vAlign w:val="center"/>
          </w:tcPr>
          <w:p>
            <w:pPr>
              <w:jc w:val="center"/>
              <w:rPr>
                <w:rFonts w:hint="eastAsia" w:ascii="黑体" w:eastAsia="黑体"/>
                <w:sz w:val="24"/>
              </w:rPr>
            </w:pPr>
          </w:p>
        </w:tc>
        <w:tc>
          <w:tcPr>
            <w:tcW w:w="1440" w:type="dxa"/>
            <w:gridSpan w:val="3"/>
            <w:vAlign w:val="center"/>
          </w:tcPr>
          <w:p>
            <w:pPr>
              <w:jc w:val="center"/>
              <w:rPr>
                <w:rFonts w:hint="eastAsia" w:ascii="黑体" w:eastAsia="黑体"/>
                <w:sz w:val="24"/>
              </w:rPr>
            </w:pPr>
            <w:r>
              <w:rPr>
                <w:rFonts w:hint="eastAsia" w:ascii="黑体" w:eastAsia="黑体"/>
                <w:sz w:val="24"/>
              </w:rPr>
              <w:t>身体状况</w:t>
            </w:r>
          </w:p>
        </w:tc>
        <w:tc>
          <w:tcPr>
            <w:tcW w:w="894" w:type="dxa"/>
            <w:gridSpan w:val="2"/>
            <w:vAlign w:val="center"/>
          </w:tcPr>
          <w:p>
            <w:pPr>
              <w:jc w:val="center"/>
              <w:rPr>
                <w:rFonts w:hint="eastAsia" w:ascii="黑体" w:eastAsia="黑体"/>
                <w:sz w:val="24"/>
              </w:rPr>
            </w:pPr>
          </w:p>
        </w:tc>
        <w:tc>
          <w:tcPr>
            <w:tcW w:w="1638" w:type="dxa"/>
            <w:vMerge w:val="continue"/>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339" w:type="dxa"/>
            <w:vAlign w:val="center"/>
          </w:tcPr>
          <w:p>
            <w:pPr>
              <w:jc w:val="center"/>
              <w:rPr>
                <w:rFonts w:hint="eastAsia" w:eastAsia="黑体"/>
                <w:sz w:val="24"/>
              </w:rPr>
            </w:pPr>
            <w:r>
              <w:rPr>
                <w:rFonts w:hint="eastAsia" w:eastAsia="黑体"/>
                <w:sz w:val="24"/>
              </w:rPr>
              <w:t>专业</w:t>
            </w:r>
          </w:p>
        </w:tc>
        <w:tc>
          <w:tcPr>
            <w:tcW w:w="2138" w:type="dxa"/>
            <w:gridSpan w:val="5"/>
            <w:vAlign w:val="center"/>
          </w:tcPr>
          <w:p>
            <w:pPr>
              <w:jc w:val="center"/>
              <w:rPr>
                <w:rFonts w:hint="eastAsia" w:eastAsia="黑体"/>
                <w:sz w:val="24"/>
              </w:rPr>
            </w:pPr>
          </w:p>
        </w:tc>
        <w:tc>
          <w:tcPr>
            <w:tcW w:w="729" w:type="dxa"/>
            <w:gridSpan w:val="2"/>
            <w:vAlign w:val="center"/>
          </w:tcPr>
          <w:p>
            <w:pPr>
              <w:jc w:val="center"/>
              <w:rPr>
                <w:rFonts w:hint="eastAsia" w:eastAsia="黑体"/>
                <w:sz w:val="24"/>
              </w:rPr>
            </w:pPr>
            <w:r>
              <w:rPr>
                <w:rFonts w:hint="eastAsia" w:eastAsia="黑体"/>
                <w:sz w:val="24"/>
              </w:rPr>
              <w:t>学号</w:t>
            </w:r>
          </w:p>
        </w:tc>
        <w:tc>
          <w:tcPr>
            <w:tcW w:w="1260" w:type="dxa"/>
            <w:gridSpan w:val="2"/>
            <w:vAlign w:val="center"/>
          </w:tcPr>
          <w:p>
            <w:pPr>
              <w:jc w:val="center"/>
              <w:rPr>
                <w:rFonts w:hint="eastAsia" w:ascii="黑体" w:eastAsia="黑体"/>
                <w:sz w:val="24"/>
              </w:rPr>
            </w:pPr>
          </w:p>
        </w:tc>
        <w:tc>
          <w:tcPr>
            <w:tcW w:w="1110" w:type="dxa"/>
            <w:gridSpan w:val="3"/>
            <w:vAlign w:val="center"/>
          </w:tcPr>
          <w:p>
            <w:pPr>
              <w:jc w:val="center"/>
              <w:rPr>
                <w:rFonts w:hint="eastAsia" w:ascii="黑体" w:eastAsia="黑体"/>
                <w:sz w:val="24"/>
              </w:rPr>
            </w:pPr>
            <w:r>
              <w:rPr>
                <w:rFonts w:hint="eastAsia" w:ascii="黑体" w:eastAsia="黑体"/>
                <w:sz w:val="24"/>
              </w:rPr>
              <w:t>是否通过外语四、六级</w:t>
            </w:r>
          </w:p>
        </w:tc>
        <w:tc>
          <w:tcPr>
            <w:tcW w:w="534" w:type="dxa"/>
            <w:vAlign w:val="center"/>
          </w:tcPr>
          <w:p>
            <w:pPr>
              <w:jc w:val="center"/>
              <w:rPr>
                <w:rFonts w:hint="eastAsia" w:ascii="黑体" w:eastAsia="黑体"/>
                <w:sz w:val="24"/>
              </w:rPr>
            </w:pPr>
          </w:p>
        </w:tc>
        <w:tc>
          <w:tcPr>
            <w:tcW w:w="1638" w:type="dxa"/>
            <w:vMerge w:val="continue"/>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339" w:type="dxa"/>
            <w:vAlign w:val="center"/>
          </w:tcPr>
          <w:p>
            <w:pPr>
              <w:jc w:val="center"/>
              <w:rPr>
                <w:rFonts w:hint="eastAsia" w:eastAsia="黑体"/>
                <w:sz w:val="24"/>
              </w:rPr>
            </w:pPr>
            <w:r>
              <w:rPr>
                <w:rFonts w:hint="eastAsia" w:eastAsia="黑体"/>
                <w:sz w:val="24"/>
              </w:rPr>
              <w:t>家长姓名</w:t>
            </w:r>
          </w:p>
        </w:tc>
        <w:tc>
          <w:tcPr>
            <w:tcW w:w="1416" w:type="dxa"/>
            <w:gridSpan w:val="4"/>
            <w:vAlign w:val="center"/>
          </w:tcPr>
          <w:p>
            <w:pPr>
              <w:jc w:val="center"/>
              <w:rPr>
                <w:rFonts w:hint="eastAsia" w:eastAsia="楷体_GB2312"/>
                <w:sz w:val="24"/>
              </w:rPr>
            </w:pPr>
          </w:p>
        </w:tc>
        <w:tc>
          <w:tcPr>
            <w:tcW w:w="1451" w:type="dxa"/>
            <w:gridSpan w:val="3"/>
            <w:vAlign w:val="center"/>
          </w:tcPr>
          <w:p>
            <w:pPr>
              <w:jc w:val="center"/>
              <w:rPr>
                <w:rFonts w:hint="eastAsia" w:eastAsia="黑体"/>
                <w:sz w:val="24"/>
              </w:rPr>
            </w:pPr>
            <w:r>
              <w:rPr>
                <w:rFonts w:hint="eastAsia" w:eastAsia="黑体"/>
                <w:sz w:val="24"/>
              </w:rPr>
              <w:t>与学生关系</w:t>
            </w:r>
          </w:p>
        </w:tc>
        <w:tc>
          <w:tcPr>
            <w:tcW w:w="2904" w:type="dxa"/>
            <w:gridSpan w:val="6"/>
            <w:vAlign w:val="center"/>
          </w:tcPr>
          <w:p>
            <w:pPr>
              <w:jc w:val="center"/>
              <w:rPr>
                <w:rFonts w:hint="eastAsia" w:ascii="黑体" w:eastAsia="黑体"/>
                <w:sz w:val="24"/>
              </w:rPr>
            </w:pPr>
          </w:p>
        </w:tc>
        <w:tc>
          <w:tcPr>
            <w:tcW w:w="1638" w:type="dxa"/>
            <w:vMerge w:val="continue"/>
          </w:tcPr>
          <w:p>
            <w:pPr>
              <w:ind w:left="102"/>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1673" w:type="dxa"/>
            <w:gridSpan w:val="3"/>
            <w:tcBorders>
              <w:bottom w:val="single" w:color="auto" w:sz="4" w:space="0"/>
            </w:tcBorders>
            <w:vAlign w:val="center"/>
          </w:tcPr>
          <w:p>
            <w:pPr>
              <w:jc w:val="center"/>
              <w:rPr>
                <w:rFonts w:hint="eastAsia" w:eastAsia="黑体"/>
                <w:sz w:val="24"/>
              </w:rPr>
            </w:pPr>
            <w:r>
              <w:rPr>
                <w:rFonts w:hint="eastAsia" w:eastAsia="黑体"/>
                <w:sz w:val="24"/>
              </w:rPr>
              <w:t>家庭详细地址</w:t>
            </w:r>
          </w:p>
          <w:p>
            <w:pPr>
              <w:jc w:val="center"/>
              <w:rPr>
                <w:rFonts w:hint="eastAsia" w:eastAsia="楷体_GB2312"/>
                <w:sz w:val="24"/>
              </w:rPr>
            </w:pPr>
            <w:r>
              <w:rPr>
                <w:rFonts w:hint="eastAsia" w:eastAsia="黑体"/>
                <w:sz w:val="24"/>
              </w:rPr>
              <w:t>及联系电话</w:t>
            </w:r>
            <w:r>
              <w:rPr>
                <w:rFonts w:hint="eastAsia" w:eastAsia="楷体_GB2312"/>
                <w:sz w:val="24"/>
              </w:rPr>
              <w:t xml:space="preserve">  </w:t>
            </w:r>
          </w:p>
        </w:tc>
        <w:tc>
          <w:tcPr>
            <w:tcW w:w="7075" w:type="dxa"/>
            <w:gridSpan w:val="12"/>
            <w:tcBorders>
              <w:bottom w:val="single" w:color="auto" w:sz="4" w:space="0"/>
            </w:tcBorders>
          </w:tcPr>
          <w:p>
            <w:pPr>
              <w:rPr>
                <w:rFonts w:hint="eastAsia" w:eastAsia="楷体_GB2312"/>
                <w:sz w:val="24"/>
              </w:rPr>
            </w:pPr>
          </w:p>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504" w:type="dxa"/>
            <w:gridSpan w:val="2"/>
            <w:vAlign w:val="center"/>
          </w:tcPr>
          <w:p>
            <w:pPr>
              <w:ind w:left="240" w:hanging="240" w:hangingChars="100"/>
              <w:jc w:val="center"/>
              <w:rPr>
                <w:rFonts w:hint="eastAsia" w:eastAsia="黑体"/>
                <w:sz w:val="24"/>
              </w:rPr>
            </w:pPr>
            <w:r>
              <w:rPr>
                <w:rFonts w:hint="eastAsia" w:eastAsia="黑体"/>
                <w:sz w:val="24"/>
              </w:rPr>
              <w:t>高考总成绩</w:t>
            </w:r>
          </w:p>
        </w:tc>
        <w:tc>
          <w:tcPr>
            <w:tcW w:w="7244" w:type="dxa"/>
            <w:gridSpan w:val="13"/>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748" w:type="dxa"/>
            <w:gridSpan w:val="15"/>
            <w:vAlign w:val="center"/>
          </w:tcPr>
          <w:p>
            <w:pPr>
              <w:jc w:val="center"/>
              <w:rPr>
                <w:rFonts w:hint="eastAsia" w:eastAsia="楷体_GB2312"/>
                <w:sz w:val="24"/>
              </w:rPr>
            </w:pPr>
            <w:r>
              <w:rPr>
                <w:rFonts w:hint="eastAsia" w:eastAsia="楷体_GB2312"/>
                <w:sz w:val="24"/>
              </w:rPr>
              <w:t>学期成绩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2088" w:type="dxa"/>
            <w:gridSpan w:val="4"/>
            <w:vAlign w:val="center"/>
          </w:tcPr>
          <w:p>
            <w:pPr>
              <w:jc w:val="center"/>
              <w:rPr>
                <w:rFonts w:hint="eastAsia" w:eastAsia="楷体_GB2312"/>
                <w:sz w:val="24"/>
              </w:rPr>
            </w:pPr>
            <w:r>
              <w:rPr>
                <w:rFonts w:hint="eastAsia" w:eastAsia="楷体_GB2312"/>
                <w:sz w:val="24"/>
              </w:rPr>
              <w:t>第一学期</w:t>
            </w:r>
          </w:p>
        </w:tc>
        <w:tc>
          <w:tcPr>
            <w:tcW w:w="1620" w:type="dxa"/>
            <w:gridSpan w:val="3"/>
            <w:vAlign w:val="center"/>
          </w:tcPr>
          <w:p>
            <w:pPr>
              <w:jc w:val="center"/>
              <w:rPr>
                <w:rFonts w:hint="eastAsia" w:eastAsia="楷体_GB2312"/>
                <w:sz w:val="24"/>
              </w:rPr>
            </w:pPr>
            <w:r>
              <w:rPr>
                <w:rFonts w:hint="eastAsia" w:eastAsia="楷体_GB2312"/>
                <w:sz w:val="24"/>
              </w:rPr>
              <w:t>成绩</w:t>
            </w:r>
          </w:p>
        </w:tc>
        <w:tc>
          <w:tcPr>
            <w:tcW w:w="2340" w:type="dxa"/>
            <w:gridSpan w:val="4"/>
            <w:vAlign w:val="center"/>
          </w:tcPr>
          <w:p>
            <w:pPr>
              <w:jc w:val="center"/>
              <w:rPr>
                <w:rFonts w:hint="eastAsia" w:eastAsia="楷体_GB2312"/>
                <w:sz w:val="24"/>
              </w:rPr>
            </w:pPr>
            <w:r>
              <w:rPr>
                <w:rFonts w:hint="eastAsia" w:eastAsia="楷体_GB2312"/>
                <w:sz w:val="24"/>
              </w:rPr>
              <w:t>第二学期</w:t>
            </w:r>
          </w:p>
        </w:tc>
        <w:tc>
          <w:tcPr>
            <w:tcW w:w="2700" w:type="dxa"/>
            <w:gridSpan w:val="4"/>
            <w:vAlign w:val="center"/>
          </w:tcPr>
          <w:p>
            <w:pPr>
              <w:jc w:val="center"/>
              <w:rPr>
                <w:rFonts w:hint="eastAsia" w:eastAsia="楷体_GB2312"/>
                <w:sz w:val="24"/>
              </w:rPr>
            </w:pPr>
            <w:r>
              <w:rPr>
                <w:rFonts w:hint="eastAsia" w:eastAsia="楷体_GB2312"/>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2088" w:type="dxa"/>
            <w:gridSpan w:val="4"/>
            <w:vAlign w:val="center"/>
          </w:tcPr>
          <w:p>
            <w:pPr>
              <w:jc w:val="center"/>
              <w:rPr>
                <w:rFonts w:hint="eastAsia" w:eastAsia="楷体_GB2312"/>
                <w:sz w:val="24"/>
              </w:rPr>
            </w:pPr>
            <w:r>
              <w:rPr>
                <w:rFonts w:hint="eastAsia" w:eastAsia="楷体_GB2312"/>
                <w:sz w:val="24"/>
              </w:rPr>
              <w:t>高等数学A1</w:t>
            </w:r>
          </w:p>
        </w:tc>
        <w:tc>
          <w:tcPr>
            <w:tcW w:w="1620" w:type="dxa"/>
            <w:gridSpan w:val="3"/>
            <w:vAlign w:val="center"/>
          </w:tcPr>
          <w:p>
            <w:pPr>
              <w:jc w:val="center"/>
              <w:rPr>
                <w:rFonts w:hint="eastAsia" w:eastAsia="楷体_GB2312"/>
                <w:sz w:val="24"/>
              </w:rPr>
            </w:pPr>
          </w:p>
        </w:tc>
        <w:tc>
          <w:tcPr>
            <w:tcW w:w="2340" w:type="dxa"/>
            <w:gridSpan w:val="4"/>
            <w:vAlign w:val="center"/>
          </w:tcPr>
          <w:p>
            <w:pPr>
              <w:jc w:val="center"/>
              <w:rPr>
                <w:rFonts w:hint="eastAsia" w:eastAsia="楷体_GB2312"/>
                <w:sz w:val="24"/>
              </w:rPr>
            </w:pPr>
            <w:r>
              <w:rPr>
                <w:rFonts w:hint="eastAsia" w:eastAsia="楷体_GB2312"/>
                <w:sz w:val="24"/>
              </w:rPr>
              <w:t>高等数学A2</w:t>
            </w:r>
          </w:p>
        </w:tc>
        <w:tc>
          <w:tcPr>
            <w:tcW w:w="2700" w:type="dxa"/>
            <w:gridSpan w:val="4"/>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088" w:type="dxa"/>
            <w:gridSpan w:val="4"/>
            <w:vAlign w:val="center"/>
          </w:tcPr>
          <w:p>
            <w:pPr>
              <w:jc w:val="center"/>
              <w:rPr>
                <w:rFonts w:hint="eastAsia" w:eastAsia="楷体_GB2312"/>
                <w:sz w:val="24"/>
              </w:rPr>
            </w:pPr>
            <w:r>
              <w:rPr>
                <w:rFonts w:hint="eastAsia" w:eastAsia="楷体_GB2312"/>
                <w:sz w:val="24"/>
              </w:rPr>
              <w:t>普通化学</w:t>
            </w:r>
          </w:p>
        </w:tc>
        <w:tc>
          <w:tcPr>
            <w:tcW w:w="1620" w:type="dxa"/>
            <w:gridSpan w:val="3"/>
            <w:vAlign w:val="center"/>
          </w:tcPr>
          <w:p>
            <w:pPr>
              <w:jc w:val="center"/>
              <w:rPr>
                <w:rFonts w:hint="eastAsia" w:eastAsia="楷体_GB2312"/>
                <w:sz w:val="24"/>
              </w:rPr>
            </w:pPr>
          </w:p>
        </w:tc>
        <w:tc>
          <w:tcPr>
            <w:tcW w:w="2340" w:type="dxa"/>
            <w:gridSpan w:val="4"/>
            <w:vAlign w:val="center"/>
          </w:tcPr>
          <w:p>
            <w:pPr>
              <w:jc w:val="center"/>
              <w:rPr>
                <w:rFonts w:hint="eastAsia" w:eastAsia="楷体_GB2312"/>
                <w:sz w:val="24"/>
              </w:rPr>
            </w:pPr>
            <w:r>
              <w:rPr>
                <w:rFonts w:hint="eastAsia" w:eastAsia="楷体_GB2312"/>
                <w:sz w:val="24"/>
              </w:rPr>
              <w:t>大学物理</w:t>
            </w:r>
          </w:p>
        </w:tc>
        <w:tc>
          <w:tcPr>
            <w:tcW w:w="2700" w:type="dxa"/>
            <w:gridSpan w:val="4"/>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2088" w:type="dxa"/>
            <w:gridSpan w:val="4"/>
            <w:vAlign w:val="center"/>
          </w:tcPr>
          <w:p>
            <w:pPr>
              <w:jc w:val="center"/>
              <w:rPr>
                <w:rFonts w:hint="eastAsia" w:eastAsia="楷体_GB2312"/>
                <w:sz w:val="24"/>
              </w:rPr>
            </w:pPr>
            <w:r>
              <w:rPr>
                <w:rFonts w:hint="eastAsia" w:eastAsia="楷体_GB2312"/>
                <w:sz w:val="24"/>
              </w:rPr>
              <w:t>大学计算机基础</w:t>
            </w:r>
          </w:p>
        </w:tc>
        <w:tc>
          <w:tcPr>
            <w:tcW w:w="1620" w:type="dxa"/>
            <w:gridSpan w:val="3"/>
            <w:vAlign w:val="center"/>
          </w:tcPr>
          <w:p>
            <w:pPr>
              <w:jc w:val="center"/>
              <w:rPr>
                <w:rFonts w:hint="eastAsia" w:eastAsia="楷体_GB2312"/>
                <w:sz w:val="24"/>
              </w:rPr>
            </w:pPr>
          </w:p>
        </w:tc>
        <w:tc>
          <w:tcPr>
            <w:tcW w:w="2340" w:type="dxa"/>
            <w:gridSpan w:val="4"/>
            <w:vAlign w:val="center"/>
          </w:tcPr>
          <w:p>
            <w:pPr>
              <w:jc w:val="center"/>
              <w:rPr>
                <w:rFonts w:hint="eastAsia" w:eastAsia="楷体_GB2312"/>
                <w:sz w:val="24"/>
              </w:rPr>
            </w:pPr>
            <w:r>
              <w:rPr>
                <w:rFonts w:hint="eastAsia" w:eastAsia="楷体_GB2312"/>
                <w:sz w:val="24"/>
              </w:rPr>
              <w:t>工程图学</w:t>
            </w:r>
          </w:p>
        </w:tc>
        <w:tc>
          <w:tcPr>
            <w:tcW w:w="2700" w:type="dxa"/>
            <w:gridSpan w:val="4"/>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2088" w:type="dxa"/>
            <w:gridSpan w:val="4"/>
            <w:vAlign w:val="center"/>
          </w:tcPr>
          <w:p>
            <w:pPr>
              <w:jc w:val="center"/>
              <w:rPr>
                <w:rFonts w:hint="eastAsia" w:eastAsia="楷体_GB2312"/>
                <w:sz w:val="24"/>
              </w:rPr>
            </w:pPr>
            <w:r>
              <w:rPr>
                <w:rFonts w:hint="eastAsia" w:eastAsia="楷体_GB2312"/>
                <w:sz w:val="24"/>
              </w:rPr>
              <w:t>大学英语</w:t>
            </w:r>
          </w:p>
        </w:tc>
        <w:tc>
          <w:tcPr>
            <w:tcW w:w="1620" w:type="dxa"/>
            <w:gridSpan w:val="3"/>
            <w:vAlign w:val="center"/>
          </w:tcPr>
          <w:p>
            <w:pPr>
              <w:jc w:val="center"/>
              <w:rPr>
                <w:rFonts w:hint="eastAsia" w:eastAsia="楷体_GB2312"/>
                <w:sz w:val="24"/>
              </w:rPr>
            </w:pPr>
          </w:p>
        </w:tc>
        <w:tc>
          <w:tcPr>
            <w:tcW w:w="2340" w:type="dxa"/>
            <w:gridSpan w:val="4"/>
            <w:vAlign w:val="center"/>
          </w:tcPr>
          <w:p>
            <w:pPr>
              <w:jc w:val="center"/>
              <w:rPr>
                <w:rFonts w:hint="eastAsia" w:eastAsia="楷体_GB2312"/>
                <w:sz w:val="24"/>
              </w:rPr>
            </w:pPr>
            <w:r>
              <w:rPr>
                <w:rFonts w:hint="eastAsia" w:eastAsia="楷体_GB2312"/>
                <w:sz w:val="24"/>
              </w:rPr>
              <w:t>大学英语II</w:t>
            </w:r>
          </w:p>
        </w:tc>
        <w:tc>
          <w:tcPr>
            <w:tcW w:w="2700" w:type="dxa"/>
            <w:gridSpan w:val="4"/>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2088" w:type="dxa"/>
            <w:gridSpan w:val="4"/>
            <w:vAlign w:val="center"/>
          </w:tcPr>
          <w:p>
            <w:pPr>
              <w:jc w:val="center"/>
              <w:rPr>
                <w:rFonts w:hint="eastAsia" w:eastAsia="楷体_GB2312"/>
                <w:sz w:val="24"/>
              </w:rPr>
            </w:pPr>
            <w:r>
              <w:rPr>
                <w:rFonts w:hint="eastAsia" w:eastAsia="楷体_GB2312"/>
                <w:sz w:val="24"/>
              </w:rPr>
              <w:t>学期平均</w:t>
            </w:r>
          </w:p>
        </w:tc>
        <w:tc>
          <w:tcPr>
            <w:tcW w:w="1620" w:type="dxa"/>
            <w:gridSpan w:val="3"/>
            <w:vAlign w:val="center"/>
          </w:tcPr>
          <w:p>
            <w:pPr>
              <w:jc w:val="center"/>
              <w:rPr>
                <w:rFonts w:hint="eastAsia" w:eastAsia="楷体_GB2312"/>
                <w:sz w:val="24"/>
              </w:rPr>
            </w:pPr>
          </w:p>
        </w:tc>
        <w:tc>
          <w:tcPr>
            <w:tcW w:w="2340" w:type="dxa"/>
            <w:gridSpan w:val="4"/>
            <w:vAlign w:val="center"/>
          </w:tcPr>
          <w:p>
            <w:pPr>
              <w:jc w:val="center"/>
              <w:rPr>
                <w:rFonts w:hint="eastAsia" w:eastAsia="楷体_GB2312"/>
                <w:sz w:val="24"/>
              </w:rPr>
            </w:pPr>
            <w:r>
              <w:rPr>
                <w:rFonts w:hint="eastAsia" w:eastAsia="楷体_GB2312"/>
                <w:sz w:val="24"/>
              </w:rPr>
              <w:t>----</w:t>
            </w:r>
          </w:p>
        </w:tc>
        <w:tc>
          <w:tcPr>
            <w:tcW w:w="2700" w:type="dxa"/>
            <w:gridSpan w:val="4"/>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2088" w:type="dxa"/>
            <w:gridSpan w:val="4"/>
            <w:vAlign w:val="center"/>
          </w:tcPr>
          <w:p>
            <w:pPr>
              <w:jc w:val="center"/>
              <w:rPr>
                <w:rFonts w:hint="eastAsia" w:eastAsia="楷体_GB2312"/>
                <w:sz w:val="24"/>
              </w:rPr>
            </w:pPr>
            <w:r>
              <w:rPr>
                <w:rFonts w:hint="eastAsia" w:eastAsia="楷体_GB2312"/>
                <w:sz w:val="24"/>
              </w:rPr>
              <w:t>成绩总平均</w:t>
            </w:r>
          </w:p>
        </w:tc>
        <w:tc>
          <w:tcPr>
            <w:tcW w:w="6660" w:type="dxa"/>
            <w:gridSpan w:val="11"/>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5" w:hRule="atLeast"/>
        </w:trPr>
        <w:tc>
          <w:tcPr>
            <w:tcW w:w="1504" w:type="dxa"/>
            <w:gridSpan w:val="2"/>
            <w:vAlign w:val="center"/>
          </w:tcPr>
          <w:p>
            <w:pPr>
              <w:jc w:val="center"/>
              <w:rPr>
                <w:rFonts w:hint="eastAsia" w:ascii="黑体" w:eastAsia="黑体"/>
                <w:sz w:val="24"/>
              </w:rPr>
            </w:pPr>
            <w:r>
              <w:rPr>
                <w:rFonts w:hint="eastAsia" w:ascii="黑体" w:eastAsia="黑体"/>
                <w:sz w:val="24"/>
              </w:rPr>
              <w:t>所获奖励</w:t>
            </w:r>
          </w:p>
        </w:tc>
        <w:tc>
          <w:tcPr>
            <w:tcW w:w="7244" w:type="dxa"/>
            <w:gridSpan w:val="13"/>
            <w:vAlign w:val="center"/>
          </w:tcPr>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9" w:hRule="atLeast"/>
        </w:trPr>
        <w:tc>
          <w:tcPr>
            <w:tcW w:w="1504" w:type="dxa"/>
            <w:gridSpan w:val="2"/>
            <w:vAlign w:val="center"/>
          </w:tcPr>
          <w:p>
            <w:pPr>
              <w:jc w:val="center"/>
              <w:rPr>
                <w:rFonts w:hint="eastAsia" w:eastAsia="黑体"/>
                <w:sz w:val="24"/>
              </w:rPr>
            </w:pPr>
            <w:r>
              <w:rPr>
                <w:rFonts w:hint="eastAsia" w:eastAsia="黑体"/>
                <w:sz w:val="24"/>
              </w:rPr>
              <w:t>综合素质</w:t>
            </w:r>
          </w:p>
          <w:p>
            <w:pPr>
              <w:jc w:val="center"/>
              <w:rPr>
                <w:rFonts w:hint="eastAsia" w:eastAsia="黑体"/>
                <w:sz w:val="24"/>
              </w:rPr>
            </w:pPr>
            <w:r>
              <w:rPr>
                <w:rFonts w:hint="eastAsia" w:eastAsia="黑体"/>
                <w:sz w:val="24"/>
              </w:rPr>
              <w:t>情况（英语</w:t>
            </w:r>
          </w:p>
          <w:p>
            <w:pPr>
              <w:jc w:val="center"/>
              <w:rPr>
                <w:rFonts w:hint="eastAsia" w:eastAsia="黑体"/>
                <w:sz w:val="24"/>
              </w:rPr>
            </w:pPr>
            <w:r>
              <w:rPr>
                <w:rFonts w:hint="eastAsia" w:eastAsia="黑体"/>
                <w:sz w:val="24"/>
              </w:rPr>
              <w:t>水平、课外科技活动、工程实践能力等）</w:t>
            </w:r>
          </w:p>
        </w:tc>
        <w:tc>
          <w:tcPr>
            <w:tcW w:w="7244" w:type="dxa"/>
            <w:gridSpan w:val="13"/>
          </w:tcPr>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8" w:hRule="atLeast"/>
        </w:trPr>
        <w:tc>
          <w:tcPr>
            <w:tcW w:w="1504" w:type="dxa"/>
            <w:gridSpan w:val="2"/>
            <w:vAlign w:val="center"/>
          </w:tcPr>
          <w:p>
            <w:pPr>
              <w:jc w:val="center"/>
              <w:rPr>
                <w:rFonts w:hint="eastAsia" w:eastAsia="黑体"/>
                <w:sz w:val="24"/>
              </w:rPr>
            </w:pPr>
            <w:r>
              <w:rPr>
                <w:rFonts w:hint="eastAsia" w:eastAsia="黑体"/>
                <w:sz w:val="24"/>
              </w:rPr>
              <w:t>家庭基</w:t>
            </w:r>
          </w:p>
          <w:p>
            <w:pPr>
              <w:jc w:val="center"/>
              <w:rPr>
                <w:rFonts w:hint="eastAsia" w:eastAsia="黑体"/>
                <w:sz w:val="24"/>
              </w:rPr>
            </w:pPr>
            <w:r>
              <w:rPr>
                <w:rFonts w:hint="eastAsia" w:eastAsia="黑体"/>
                <w:sz w:val="24"/>
              </w:rPr>
              <w:t>本情况</w:t>
            </w:r>
          </w:p>
        </w:tc>
        <w:tc>
          <w:tcPr>
            <w:tcW w:w="7244" w:type="dxa"/>
            <w:gridSpan w:val="13"/>
          </w:tcPr>
          <w:p>
            <w:pPr>
              <w:rPr>
                <w:rFonts w:hint="eastAsia" w:eastAsia="楷体_GB2312"/>
                <w:sz w:val="24"/>
              </w:rPr>
            </w:pPr>
          </w:p>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trPr>
        <w:tc>
          <w:tcPr>
            <w:tcW w:w="1504" w:type="dxa"/>
            <w:gridSpan w:val="2"/>
            <w:vAlign w:val="center"/>
          </w:tcPr>
          <w:p>
            <w:pPr>
              <w:jc w:val="center"/>
              <w:rPr>
                <w:rFonts w:hint="eastAsia" w:eastAsia="黑体"/>
                <w:sz w:val="24"/>
              </w:rPr>
            </w:pPr>
            <w:r>
              <w:rPr>
                <w:rFonts w:hint="eastAsia" w:eastAsia="黑体"/>
                <w:sz w:val="24"/>
              </w:rPr>
              <w:t>学生家</w:t>
            </w:r>
          </w:p>
          <w:p>
            <w:pPr>
              <w:jc w:val="center"/>
              <w:rPr>
                <w:rFonts w:hint="eastAsia" w:eastAsia="黑体"/>
                <w:sz w:val="24"/>
              </w:rPr>
            </w:pPr>
            <w:r>
              <w:rPr>
                <w:rFonts w:hint="eastAsia" w:eastAsia="黑体"/>
                <w:sz w:val="24"/>
              </w:rPr>
              <w:t>长意见</w:t>
            </w:r>
          </w:p>
        </w:tc>
        <w:tc>
          <w:tcPr>
            <w:tcW w:w="7244" w:type="dxa"/>
            <w:gridSpan w:val="13"/>
          </w:tcPr>
          <w:p>
            <w:pPr>
              <w:rPr>
                <w:rFonts w:hint="eastAsia" w:eastAsia="黑体"/>
                <w:sz w:val="24"/>
              </w:rPr>
            </w:pPr>
          </w:p>
          <w:p>
            <w:pPr>
              <w:rPr>
                <w:rFonts w:hint="eastAsia" w:eastAsia="黑体"/>
                <w:sz w:val="24"/>
              </w:rPr>
            </w:pPr>
          </w:p>
          <w:p>
            <w:pPr>
              <w:rPr>
                <w:rFonts w:hint="eastAsia" w:eastAsia="黑体"/>
                <w:sz w:val="24"/>
              </w:rPr>
            </w:pPr>
          </w:p>
          <w:p>
            <w:pPr>
              <w:ind w:firstLine="3840" w:firstLineChars="1600"/>
              <w:rPr>
                <w:rFonts w:hint="eastAsia" w:eastAsia="楷体_GB2312"/>
                <w:sz w:val="24"/>
              </w:rPr>
            </w:pPr>
            <w:r>
              <w:rPr>
                <w:rFonts w:hint="eastAsia" w:eastAsia="黑体"/>
                <w:sz w:val="24"/>
              </w:rPr>
              <w:t>年    月    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trPr>
        <w:tc>
          <w:tcPr>
            <w:tcW w:w="1504" w:type="dxa"/>
            <w:gridSpan w:val="2"/>
            <w:vAlign w:val="center"/>
          </w:tcPr>
          <w:p>
            <w:pPr>
              <w:jc w:val="center"/>
              <w:rPr>
                <w:rFonts w:hint="eastAsia" w:ascii="黑体" w:eastAsia="黑体"/>
                <w:sz w:val="24"/>
              </w:rPr>
            </w:pPr>
            <w:r>
              <w:rPr>
                <w:rFonts w:hint="eastAsia" w:ascii="黑体" w:eastAsia="黑体"/>
                <w:sz w:val="24"/>
              </w:rPr>
              <w:t>年级主任</w:t>
            </w:r>
          </w:p>
          <w:p>
            <w:pPr>
              <w:jc w:val="center"/>
              <w:rPr>
                <w:rFonts w:hint="eastAsia" w:eastAsia="黑体"/>
                <w:sz w:val="24"/>
              </w:rPr>
            </w:pPr>
            <w:r>
              <w:rPr>
                <w:rFonts w:hint="eastAsia" w:ascii="黑体" w:eastAsia="黑体"/>
                <w:sz w:val="24"/>
              </w:rPr>
              <w:t>审核意见</w:t>
            </w:r>
          </w:p>
        </w:tc>
        <w:tc>
          <w:tcPr>
            <w:tcW w:w="7244" w:type="dxa"/>
            <w:gridSpan w:val="13"/>
          </w:tcPr>
          <w:p>
            <w:pPr>
              <w:rPr>
                <w:rFonts w:hint="eastAsia" w:eastAsia="黑体"/>
                <w:sz w:val="24"/>
              </w:rPr>
            </w:pPr>
          </w:p>
          <w:p>
            <w:pPr>
              <w:rPr>
                <w:rFonts w:hint="eastAsia" w:eastAsia="黑体"/>
                <w:sz w:val="24"/>
              </w:rPr>
            </w:pPr>
          </w:p>
          <w:p>
            <w:pPr>
              <w:rPr>
                <w:rFonts w:hint="eastAsia" w:eastAsia="黑体"/>
                <w:sz w:val="24"/>
              </w:rPr>
            </w:pPr>
          </w:p>
          <w:p>
            <w:pPr>
              <w:ind w:firstLine="3840" w:firstLineChars="1600"/>
              <w:rPr>
                <w:rFonts w:hint="eastAsia" w:eastAsia="黑体"/>
                <w:sz w:val="24"/>
              </w:rPr>
            </w:pPr>
            <w:r>
              <w:rPr>
                <w:rFonts w:hint="eastAsia" w:eastAsia="黑体"/>
                <w:sz w:val="24"/>
              </w:rPr>
              <w:t>年    月    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1504" w:type="dxa"/>
            <w:gridSpan w:val="2"/>
            <w:vAlign w:val="center"/>
          </w:tcPr>
          <w:p>
            <w:pPr>
              <w:jc w:val="center"/>
              <w:rPr>
                <w:rFonts w:hint="eastAsia" w:eastAsia="黑体"/>
                <w:sz w:val="24"/>
              </w:rPr>
            </w:pPr>
            <w:r>
              <w:rPr>
                <w:rFonts w:hint="eastAsia" w:eastAsia="黑体"/>
                <w:sz w:val="24"/>
              </w:rPr>
              <w:t>“卓越班”领导小组</w:t>
            </w:r>
          </w:p>
          <w:p>
            <w:pPr>
              <w:jc w:val="center"/>
              <w:rPr>
                <w:rFonts w:hint="eastAsia" w:eastAsia="黑体"/>
                <w:sz w:val="24"/>
              </w:rPr>
            </w:pPr>
            <w:r>
              <w:rPr>
                <w:rFonts w:hint="eastAsia" w:eastAsia="黑体"/>
                <w:sz w:val="24"/>
              </w:rPr>
              <w:t>意见</w:t>
            </w:r>
          </w:p>
        </w:tc>
        <w:tc>
          <w:tcPr>
            <w:tcW w:w="7244" w:type="dxa"/>
            <w:gridSpan w:val="13"/>
          </w:tcPr>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jc w:val="center"/>
              <w:rPr>
                <w:rFonts w:hint="eastAsia" w:eastAsia="黑体"/>
                <w:sz w:val="24"/>
              </w:rPr>
            </w:pPr>
            <w:r>
              <w:rPr>
                <w:rFonts w:hint="eastAsia" w:eastAsia="黑体"/>
                <w:sz w:val="24"/>
              </w:rPr>
              <w:t xml:space="preserve">                                年    月    日（组长签字）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1504" w:type="dxa"/>
            <w:gridSpan w:val="2"/>
            <w:vAlign w:val="center"/>
          </w:tcPr>
          <w:p>
            <w:pPr>
              <w:jc w:val="center"/>
              <w:rPr>
                <w:rFonts w:hint="eastAsia" w:eastAsia="黑体"/>
                <w:sz w:val="24"/>
              </w:rPr>
            </w:pPr>
            <w:r>
              <w:rPr>
                <w:rFonts w:hint="eastAsia" w:eastAsia="黑体"/>
                <w:sz w:val="24"/>
              </w:rPr>
              <w:t>学院</w:t>
            </w:r>
          </w:p>
          <w:p>
            <w:pPr>
              <w:jc w:val="center"/>
              <w:rPr>
                <w:rFonts w:hint="eastAsia" w:eastAsia="黑体"/>
                <w:sz w:val="24"/>
              </w:rPr>
            </w:pPr>
            <w:r>
              <w:rPr>
                <w:rFonts w:hint="eastAsia" w:eastAsia="黑体"/>
                <w:sz w:val="24"/>
              </w:rPr>
              <w:t>学生工作领导小组意见</w:t>
            </w:r>
          </w:p>
        </w:tc>
        <w:tc>
          <w:tcPr>
            <w:tcW w:w="7244" w:type="dxa"/>
            <w:gridSpan w:val="13"/>
          </w:tcPr>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ind w:firstLine="3840" w:firstLineChars="1600"/>
              <w:rPr>
                <w:rFonts w:hint="eastAsia" w:eastAsia="楷体_GB2312"/>
                <w:sz w:val="24"/>
              </w:rPr>
            </w:pPr>
            <w:r>
              <w:rPr>
                <w:rFonts w:hint="eastAsia" w:eastAsia="黑体"/>
                <w:sz w:val="24"/>
              </w:rPr>
              <w:t>年    月    日（签字）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71803"/>
    <w:multiLevelType w:val="multilevel"/>
    <w:tmpl w:val="2D07180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86962"/>
    <w:rsid w:val="7E88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rPr>
      <w:rFonts w:ascii="宋体" w:hAnsi="宋体"/>
    </w:r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2019-03-26T09:36:00Z</dcterms:created>
  <dc:creator>笑</dc:creator>
  <cp:lastModifiedBy>笑</cp:lastModifiedBy>
  <dcterms:modified xsi:type="dcterms:W3CDTF">2019-03-26T09:45:14Z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